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Pr>
          <w:rFonts w:ascii="Times New Roman" w:hAnsi="Times New Roman"/>
          <w:sz w:val="24"/>
        </w:rPr>
        <w:tab/>
        <w:t>R4-1</w:t>
      </w:r>
      <w:r w:rsidR="00FF2244">
        <w:rPr>
          <w:rFonts w:ascii="Times New Roman" w:hAnsi="Times New Roman"/>
          <w:sz w:val="24"/>
        </w:rPr>
        <w:t>9</w:t>
      </w:r>
      <w:r w:rsidR="000A68B5">
        <w:rPr>
          <w:rFonts w:ascii="Times New Roman" w:hAnsi="Times New Roman"/>
          <w:sz w:val="24"/>
        </w:rPr>
        <w:t>09555</w:t>
      </w:r>
      <w:bookmarkStart w:id="0" w:name="_GoBack"/>
      <w:bookmarkEnd w:id="0"/>
    </w:p>
    <w:p w:rsidR="005813AA" w:rsidRPr="00552689" w:rsidRDefault="000E35CC" w:rsidP="005813AA">
      <w:pPr>
        <w:pStyle w:val="Header"/>
        <w:rPr>
          <w:rFonts w:ascii="Times New Roman" w:hAnsi="Times New Roman"/>
          <w:sz w:val="24"/>
          <w:lang w:val="en-US"/>
        </w:rPr>
      </w:pPr>
      <w:r>
        <w:rPr>
          <w:rFonts w:ascii="Times New Roman" w:hAnsi="Times New Roman"/>
          <w:sz w:val="24"/>
          <w:lang w:val="en-US"/>
        </w:rPr>
        <w:t>Ljubljana</w:t>
      </w:r>
      <w:r w:rsidR="005813AA">
        <w:rPr>
          <w:rFonts w:ascii="Times New Roman" w:hAnsi="Times New Roman"/>
          <w:sz w:val="24"/>
          <w:lang w:val="en-US"/>
        </w:rPr>
        <w:t xml:space="preserve">, </w:t>
      </w:r>
      <w:r>
        <w:rPr>
          <w:rFonts w:ascii="Times New Roman" w:hAnsi="Times New Roman"/>
          <w:sz w:val="24"/>
          <w:lang w:val="en-US"/>
        </w:rPr>
        <w:t>Slovenia</w:t>
      </w:r>
      <w:r w:rsidR="005813AA">
        <w:rPr>
          <w:rFonts w:ascii="Times New Roman" w:hAnsi="Times New Roman"/>
          <w:sz w:val="24"/>
          <w:lang w:val="en-US"/>
        </w:rPr>
        <w:t xml:space="preserve">, </w:t>
      </w:r>
      <w:r>
        <w:rPr>
          <w:rFonts w:ascii="Times New Roman" w:hAnsi="Times New Roman"/>
          <w:sz w:val="24"/>
          <w:lang w:val="en-US"/>
        </w:rPr>
        <w:t>26</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30</w:t>
      </w:r>
      <w:r w:rsidR="002B1082">
        <w:rPr>
          <w:rFonts w:ascii="Times New Roman" w:hAnsi="Times New Roman"/>
          <w:sz w:val="24"/>
          <w:lang w:val="en-US"/>
        </w:rPr>
        <w:t xml:space="preserve"> </w:t>
      </w:r>
      <w:r>
        <w:rPr>
          <w:rFonts w:ascii="Times New Roman" w:hAnsi="Times New Roman"/>
          <w:sz w:val="24"/>
          <w:lang w:val="en-US"/>
        </w:rPr>
        <w:t>August</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C636EE" w:rsidRPr="00C636EE">
        <w:rPr>
          <w:rFonts w:ascii="Arial" w:hAnsi="Arial" w:cs="Arial"/>
          <w:sz w:val="24"/>
          <w:lang w:val="en-US" w:eastAsia="zh-CN"/>
        </w:rPr>
        <w:t>feMOB Impact on RAN4 requirements</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2B59D3">
        <w:rPr>
          <w:rFonts w:ascii="Arial" w:hAnsi="Arial" w:cs="Arial"/>
          <w:sz w:val="24"/>
          <w:lang w:val="en-US" w:eastAsia="zh-CN"/>
        </w:rPr>
        <w:t>8.13.1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8E5930" w:rsidRDefault="008E5930" w:rsidP="008E5930">
      <w:r>
        <w:t>In RAN4#91, a way forwar</w:t>
      </w:r>
      <w:r w:rsidR="00820DBE">
        <w:t xml:space="preserve">d </w:t>
      </w:r>
      <w:r w:rsidR="00820DBE">
        <w:fldChar w:fldCharType="begin"/>
      </w:r>
      <w:r w:rsidR="00820DBE">
        <w:instrText xml:space="preserve"> REF _Ref11680932 \r \h </w:instrText>
      </w:r>
      <w:r w:rsidR="00820DBE">
        <w:fldChar w:fldCharType="separate"/>
      </w:r>
      <w:r w:rsidR="00820DBE">
        <w:t>[1]</w:t>
      </w:r>
      <w:r w:rsidR="00820DBE">
        <w:fldChar w:fldCharType="end"/>
      </w:r>
      <w:r>
        <w:t xml:space="preserve"> was agreed for further enhanced mobility from a RAN4 RRM requirements point of view</w:t>
      </w:r>
    </w:p>
    <w:tbl>
      <w:tblPr>
        <w:tblStyle w:val="TableGrid"/>
        <w:tblW w:w="0" w:type="auto"/>
        <w:tblLook w:val="04A0" w:firstRow="1" w:lastRow="0" w:firstColumn="1" w:lastColumn="0" w:noHBand="0" w:noVBand="1"/>
      </w:tblPr>
      <w:tblGrid>
        <w:gridCol w:w="10537"/>
      </w:tblGrid>
      <w:tr w:rsidR="008E5930" w:rsidTr="008E5930">
        <w:tc>
          <w:tcPr>
            <w:tcW w:w="10537" w:type="dxa"/>
          </w:tcPr>
          <w:p w:rsidR="00D01121" w:rsidRPr="008E5930" w:rsidRDefault="00794D9E" w:rsidP="008E5930">
            <w:pPr>
              <w:numPr>
                <w:ilvl w:val="0"/>
                <w:numId w:val="44"/>
              </w:numPr>
            </w:pPr>
            <w:r w:rsidRPr="008E5930">
              <w:rPr>
                <w:lang w:val="en-US"/>
              </w:rPr>
              <w:t>On conditional handover solution</w:t>
            </w:r>
          </w:p>
          <w:p w:rsidR="00D01121" w:rsidRPr="008E5930" w:rsidRDefault="00794D9E" w:rsidP="008E5930">
            <w:pPr>
              <w:numPr>
                <w:ilvl w:val="1"/>
                <w:numId w:val="44"/>
              </w:numPr>
            </w:pPr>
            <w:r w:rsidRPr="008E5930">
              <w:t>The handover delay is defined from the time when handover condition is met to the time when the first PRACH preamble is transmitted.</w:t>
            </w:r>
          </w:p>
          <w:p w:rsidR="00D01121" w:rsidRPr="008E5930" w:rsidRDefault="00794D9E" w:rsidP="008E5930">
            <w:pPr>
              <w:numPr>
                <w:ilvl w:val="1"/>
                <w:numId w:val="44"/>
              </w:numPr>
            </w:pPr>
            <w:r w:rsidRPr="008E5930">
              <w:rPr>
                <w:lang w:val="en-US"/>
              </w:rPr>
              <w:t xml:space="preserve">The methodology of defining </w:t>
            </w:r>
            <w:r w:rsidRPr="008E5930">
              <w:t xml:space="preserve">handover delay for LTE </w:t>
            </w:r>
            <w:r w:rsidRPr="008E5930">
              <w:rPr>
                <w:lang w:val="en-US"/>
              </w:rPr>
              <w:t xml:space="preserve">conditional handover shall be aligned with that for NR conditional handover. </w:t>
            </w:r>
          </w:p>
          <w:p w:rsidR="00D01121" w:rsidRPr="008E5930" w:rsidRDefault="00794D9E" w:rsidP="008E5930">
            <w:pPr>
              <w:numPr>
                <w:ilvl w:val="2"/>
                <w:numId w:val="44"/>
              </w:numPr>
            </w:pPr>
            <w:r w:rsidRPr="008E5930">
              <w:rPr>
                <w:lang w:val="en-US"/>
              </w:rPr>
              <w:t xml:space="preserve">The number for each component in the handover delay will be discussed in the next meeting. </w:t>
            </w:r>
          </w:p>
          <w:p w:rsidR="00D01121" w:rsidRPr="008E5930" w:rsidRDefault="00794D9E" w:rsidP="008E5930">
            <w:pPr>
              <w:numPr>
                <w:ilvl w:val="2"/>
                <w:numId w:val="44"/>
              </w:numPr>
            </w:pPr>
            <w:r w:rsidRPr="008E5930">
              <w:rPr>
                <w:lang w:val="en-US"/>
              </w:rPr>
              <w:t xml:space="preserve">Note that </w:t>
            </w:r>
            <w:r w:rsidRPr="008E5930">
              <w:t>T</w:t>
            </w:r>
            <w:r w:rsidRPr="008E5930">
              <w:rPr>
                <w:vertAlign w:val="subscript"/>
              </w:rPr>
              <w:t xml:space="preserve">∆ </w:t>
            </w:r>
            <w:r w:rsidRPr="008E5930">
              <w:rPr>
                <w:lang w:val="en-US"/>
              </w:rPr>
              <w:t xml:space="preserve">is not included in </w:t>
            </w:r>
            <w:r w:rsidRPr="008E5930">
              <w:t>T</w:t>
            </w:r>
            <w:r w:rsidRPr="008E5930">
              <w:rPr>
                <w:vertAlign w:val="subscript"/>
              </w:rPr>
              <w:t xml:space="preserve">interrupt </w:t>
            </w:r>
            <w:r w:rsidRPr="008E5930">
              <w:rPr>
                <w:lang w:val="en-US"/>
              </w:rPr>
              <w:t>for LTE.</w:t>
            </w:r>
          </w:p>
          <w:p w:rsidR="00D01121" w:rsidRPr="008E5930" w:rsidRDefault="00794D9E" w:rsidP="008E5930">
            <w:pPr>
              <w:numPr>
                <w:ilvl w:val="0"/>
                <w:numId w:val="44"/>
              </w:numPr>
            </w:pPr>
            <w:r w:rsidRPr="008E5930">
              <w:rPr>
                <w:lang w:val="en-US"/>
              </w:rPr>
              <w:t>On non-split dual active protocol stack solution</w:t>
            </w:r>
          </w:p>
          <w:p w:rsidR="00D01121" w:rsidRPr="008E5930" w:rsidRDefault="00794D9E" w:rsidP="008E5930">
            <w:pPr>
              <w:numPr>
                <w:ilvl w:val="1"/>
                <w:numId w:val="44"/>
              </w:numPr>
            </w:pPr>
            <w:r w:rsidRPr="008E5930">
              <w:t>The handover delay is defined as when the UE receives a RRC message from source cell implying handover the UE shall be ready to start the transmission of the new uplink PUSCH channel on the target cell within D</w:t>
            </w:r>
            <w:r w:rsidRPr="008E5930">
              <w:rPr>
                <w:vertAlign w:val="subscript"/>
              </w:rPr>
              <w:t xml:space="preserve">handover </w:t>
            </w:r>
            <w:r w:rsidRPr="008E5930">
              <w:t>seconds from the end of the last TTI containing the RRC command.</w:t>
            </w:r>
          </w:p>
          <w:p w:rsidR="008E5930" w:rsidRDefault="00794D9E" w:rsidP="005C75B8">
            <w:pPr>
              <w:ind w:left="1440"/>
            </w:pPr>
            <w:r w:rsidRPr="008E5930">
              <w:t>The interruption requirement numbers will be discussed in the next meeting.</w:t>
            </w:r>
          </w:p>
        </w:tc>
      </w:tr>
    </w:tbl>
    <w:p w:rsidR="008E5930" w:rsidRPr="008E5930" w:rsidRDefault="008E5930" w:rsidP="008E5930"/>
    <w:p w:rsidR="004469EF" w:rsidRPr="004469EF" w:rsidRDefault="004469EF" w:rsidP="004469EF"/>
    <w:p w:rsidR="0084532A" w:rsidRDefault="005813AA" w:rsidP="0084532A">
      <w:pPr>
        <w:pStyle w:val="Heading1"/>
        <w:jc w:val="both"/>
        <w:rPr>
          <w:rFonts w:eastAsia="SimSun"/>
          <w:lang w:val="en-US" w:eastAsia="zh-CN"/>
        </w:rPr>
      </w:pPr>
      <w:r>
        <w:rPr>
          <w:rFonts w:eastAsia="SimSun"/>
          <w:lang w:val="en-US" w:eastAsia="zh-CN"/>
        </w:rPr>
        <w:t>Discussion</w:t>
      </w:r>
    </w:p>
    <w:p w:rsidR="00C636EE" w:rsidRPr="00C636EE" w:rsidRDefault="00C636EE" w:rsidP="00C636EE">
      <w:pPr>
        <w:rPr>
          <w:lang w:val="en-US" w:eastAsia="zh-CN"/>
        </w:rPr>
      </w:pPr>
      <w:r>
        <w:rPr>
          <w:lang w:val="en-US" w:eastAsia="zh-CN"/>
        </w:rPr>
        <w:t xml:space="preserve">We begin by reviewing RAN2 progress on the work item during May meeting. RAN2 discussed reduction in user data interruption during handover (related to simultaneous RX/TX) and handover robustness improvements (related to conditional handover). The </w:t>
      </w:r>
      <w:r w:rsidR="00461679">
        <w:rPr>
          <w:lang w:val="en-US" w:eastAsia="zh-CN"/>
        </w:rPr>
        <w:t>agreements</w:t>
      </w:r>
      <w:r>
        <w:rPr>
          <w:lang w:val="en-US" w:eastAsia="zh-CN"/>
        </w:rPr>
        <w:t xml:space="preserve"> coped from the RAN2 meeting report are below</w:t>
      </w:r>
    </w:p>
    <w:p w:rsidR="00FE0B7A" w:rsidRPr="00C636EE" w:rsidRDefault="00FE0B7A" w:rsidP="00FE0B7A">
      <w:pPr>
        <w:rPr>
          <w:u w:val="single"/>
          <w:lang w:val="en-US" w:eastAsia="zh-CN"/>
        </w:rPr>
      </w:pPr>
      <w:r w:rsidRPr="00C636EE">
        <w:rPr>
          <w:u w:val="single"/>
        </w:rPr>
        <w:t>Reduction in user data interruption during handover</w:t>
      </w:r>
    </w:p>
    <w:p w:rsidR="00FE0B7A" w:rsidRPr="000C3C1B" w:rsidRDefault="00FE0B7A" w:rsidP="00FE0B7A">
      <w:pPr>
        <w:pStyle w:val="Doc-text2"/>
        <w:numPr>
          <w:ilvl w:val="0"/>
          <w:numId w:val="42"/>
        </w:numPr>
        <w:pBdr>
          <w:top w:val="single" w:sz="4" w:space="1" w:color="auto"/>
          <w:left w:val="single" w:sz="4" w:space="4" w:color="auto"/>
          <w:bottom w:val="single" w:sz="4" w:space="1" w:color="auto"/>
          <w:right w:val="single" w:sz="4" w:space="4" w:color="auto"/>
        </w:pBdr>
      </w:pPr>
      <w:r w:rsidRPr="000C3C1B">
        <w:t xml:space="preserve">Simultaneous UL PUSCH transmission does not need to be supported for the HO interruption solution. </w:t>
      </w:r>
    </w:p>
    <w:p w:rsidR="00FE0B7A" w:rsidRPr="000C3C1B" w:rsidRDefault="00FE0B7A" w:rsidP="00FE0B7A">
      <w:pPr>
        <w:pStyle w:val="Doc-text2"/>
        <w:pBdr>
          <w:top w:val="single" w:sz="4" w:space="1" w:color="auto"/>
          <w:left w:val="single" w:sz="4" w:space="4" w:color="auto"/>
          <w:bottom w:val="single" w:sz="4" w:space="1" w:color="auto"/>
          <w:right w:val="single" w:sz="4" w:space="4" w:color="auto"/>
        </w:pBdr>
      </w:pPr>
      <w:r w:rsidRPr="000C3C1B">
        <w:tab/>
      </w:r>
    </w:p>
    <w:p w:rsidR="00FE0B7A" w:rsidRPr="000C3C1B" w:rsidRDefault="00FE0B7A" w:rsidP="00FE0B7A">
      <w:pPr>
        <w:pStyle w:val="Doc-text2"/>
        <w:pBdr>
          <w:top w:val="single" w:sz="4" w:space="1" w:color="auto"/>
          <w:left w:val="single" w:sz="4" w:space="4" w:color="auto"/>
          <w:bottom w:val="single" w:sz="4" w:space="1" w:color="auto"/>
          <w:right w:val="single" w:sz="4" w:space="4" w:color="auto"/>
        </w:pBdr>
      </w:pPr>
      <w:r w:rsidRPr="000C3C1B">
        <w:t>2</w:t>
      </w:r>
      <w:r w:rsidRPr="000C3C1B">
        <w:tab/>
        <w:t>UL PUSCH switches from source to target after reception of the first UL grant from the target eNB</w:t>
      </w:r>
    </w:p>
    <w:p w:rsidR="0057625E" w:rsidRDefault="0057625E" w:rsidP="0057625E">
      <w:pPr>
        <w:rPr>
          <w:lang w:val="en-US" w:eastAsia="zh-CN"/>
        </w:rPr>
      </w:pPr>
    </w:p>
    <w:p w:rsidR="00FE0B7A" w:rsidRPr="000C3C1B" w:rsidRDefault="00FE0B7A" w:rsidP="00FE0B7A">
      <w:pPr>
        <w:pStyle w:val="Doc-text2"/>
        <w:pBdr>
          <w:top w:val="single" w:sz="4" w:space="1" w:color="auto"/>
          <w:left w:val="single" w:sz="4" w:space="4" w:color="auto"/>
          <w:bottom w:val="single" w:sz="4" w:space="1" w:color="auto"/>
          <w:right w:val="single" w:sz="4" w:space="4" w:color="auto"/>
        </w:pBdr>
      </w:pPr>
    </w:p>
    <w:p w:rsidR="00FE0B7A" w:rsidRPr="000C3C1B" w:rsidRDefault="00FE0B7A" w:rsidP="00FE0B7A">
      <w:pPr>
        <w:pStyle w:val="Doc-text2"/>
        <w:pBdr>
          <w:top w:val="single" w:sz="4" w:space="1" w:color="auto"/>
          <w:left w:val="single" w:sz="4" w:space="4" w:color="auto"/>
          <w:bottom w:val="single" w:sz="4" w:space="1" w:color="auto"/>
          <w:right w:val="single" w:sz="4" w:space="4" w:color="auto"/>
        </w:pBdr>
      </w:pPr>
      <w:r w:rsidRPr="000C3C1B">
        <w:t>1</w:t>
      </w:r>
      <w:r w:rsidRPr="000C3C1B">
        <w:tab/>
        <w:t>We will not specify single active protocol stack solution (option 0/1/2)</w:t>
      </w:r>
    </w:p>
    <w:p w:rsidR="00FE0B7A" w:rsidRPr="000C3C1B" w:rsidRDefault="00FE0B7A" w:rsidP="00FE0B7A">
      <w:pPr>
        <w:pStyle w:val="Doc-text2"/>
        <w:pBdr>
          <w:top w:val="single" w:sz="4" w:space="1" w:color="auto"/>
          <w:left w:val="single" w:sz="4" w:space="4" w:color="auto"/>
          <w:bottom w:val="single" w:sz="4" w:space="1" w:color="auto"/>
          <w:right w:val="single" w:sz="4" w:space="4" w:color="auto"/>
        </w:pBdr>
      </w:pPr>
    </w:p>
    <w:p w:rsidR="00FE0B7A" w:rsidRPr="000C3C1B" w:rsidRDefault="00FE0B7A" w:rsidP="00FE0B7A">
      <w:pPr>
        <w:pStyle w:val="Doc-text2"/>
        <w:pBdr>
          <w:top w:val="single" w:sz="4" w:space="1" w:color="auto"/>
          <w:left w:val="single" w:sz="4" w:space="4" w:color="auto"/>
          <w:bottom w:val="single" w:sz="4" w:space="1" w:color="auto"/>
          <w:right w:val="single" w:sz="4" w:space="4" w:color="auto"/>
        </w:pBdr>
      </w:pPr>
      <w:r w:rsidRPr="000C3C1B">
        <w:t>2</w:t>
      </w:r>
      <w:r w:rsidRPr="000C3C1B">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rsidR="00FE0B7A" w:rsidRDefault="00FE0B7A" w:rsidP="0057625E">
      <w:pPr>
        <w:rPr>
          <w:lang w:val="en-US" w:eastAsia="zh-CN"/>
        </w:rPr>
      </w:pPr>
    </w:p>
    <w:p w:rsidR="00FE0B7A" w:rsidRPr="00C636EE" w:rsidRDefault="00FE0B7A" w:rsidP="0057625E">
      <w:pPr>
        <w:rPr>
          <w:u w:val="single"/>
          <w:lang w:val="en-US" w:eastAsia="zh-CN"/>
        </w:rPr>
      </w:pPr>
      <w:r w:rsidRPr="00C636EE">
        <w:rPr>
          <w:u w:val="single"/>
          <w:lang w:val="en-US" w:eastAsia="zh-CN"/>
        </w:rPr>
        <w:t>Handover robustness improvements CHO</w:t>
      </w:r>
    </w:p>
    <w:p w:rsidR="00FE0B7A" w:rsidRPr="000C3C1B" w:rsidRDefault="00FE0B7A" w:rsidP="00FE0B7A">
      <w:pPr>
        <w:pStyle w:val="Doc-text2"/>
        <w:numPr>
          <w:ilvl w:val="0"/>
          <w:numId w:val="43"/>
        </w:numPr>
        <w:pBdr>
          <w:top w:val="single" w:sz="4" w:space="1" w:color="auto"/>
          <w:left w:val="single" w:sz="4" w:space="4" w:color="auto"/>
          <w:bottom w:val="single" w:sz="4" w:space="1" w:color="auto"/>
          <w:right w:val="single" w:sz="4" w:space="4" w:color="auto"/>
        </w:pBdr>
      </w:pPr>
      <w:r w:rsidRPr="000C3C1B">
        <w:lastRenderedPageBreak/>
        <w:t xml:space="preserve">Conditional handover (CHO) is introduced in LTE to solve robustness/reliability issue. </w:t>
      </w:r>
    </w:p>
    <w:p w:rsidR="00FE0B7A" w:rsidRPr="000C3C1B" w:rsidRDefault="00FE0B7A" w:rsidP="00FE0B7A">
      <w:pPr>
        <w:pStyle w:val="Doc-text2"/>
        <w:pBdr>
          <w:top w:val="single" w:sz="4" w:space="1" w:color="auto"/>
          <w:left w:val="single" w:sz="4" w:space="4" w:color="auto"/>
          <w:bottom w:val="single" w:sz="4" w:space="1" w:color="auto"/>
          <w:right w:val="single" w:sz="4" w:space="4" w:color="auto"/>
        </w:pBdr>
      </w:pPr>
      <w:r w:rsidRPr="000C3C1B">
        <w:t>2</w:t>
      </w:r>
      <w:r w:rsidRPr="000C3C1B">
        <w:tab/>
        <w:t xml:space="preserve">The source cell decides on the condition for the execution of CHO. </w:t>
      </w:r>
    </w:p>
    <w:p w:rsidR="00FE0B7A" w:rsidRPr="000C3C1B" w:rsidRDefault="00FE0B7A" w:rsidP="00FE0B7A">
      <w:pPr>
        <w:pStyle w:val="Doc-text2"/>
        <w:pBdr>
          <w:top w:val="single" w:sz="4" w:space="1" w:color="auto"/>
          <w:left w:val="single" w:sz="4" w:space="4" w:color="auto"/>
          <w:bottom w:val="single" w:sz="4" w:space="1" w:color="auto"/>
          <w:right w:val="single" w:sz="4" w:space="4" w:color="auto"/>
        </w:pBdr>
      </w:pPr>
      <w:r w:rsidRPr="000C3C1B">
        <w:t>3</w:t>
      </w:r>
      <w:r w:rsidRPr="000C3C1B">
        <w:tab/>
        <w:t>The source cell adds the condition for the execution of CHO to the RRC message sent to UE.</w:t>
      </w:r>
    </w:p>
    <w:p w:rsidR="00FE0B7A" w:rsidRPr="000C3C1B" w:rsidRDefault="00FE0B7A" w:rsidP="00FE0B7A">
      <w:pPr>
        <w:pStyle w:val="Doc-text2"/>
        <w:pBdr>
          <w:top w:val="single" w:sz="4" w:space="1" w:color="auto"/>
          <w:left w:val="single" w:sz="4" w:space="4" w:color="auto"/>
          <w:bottom w:val="single" w:sz="4" w:space="1" w:color="auto"/>
          <w:right w:val="single" w:sz="4" w:space="4" w:color="auto"/>
        </w:pBdr>
      </w:pPr>
      <w:r w:rsidRPr="000C3C1B">
        <w:t>4</w:t>
      </w:r>
      <w:r w:rsidRPr="000C3C1B">
        <w:tab/>
        <w:t>Multiple CHO candidate cells can be sent in either one or multiple RRC messages. FFS on signalling details. FFS how CHO execution is handled.</w:t>
      </w:r>
    </w:p>
    <w:p w:rsidR="00FE0B7A" w:rsidRPr="000C3C1B" w:rsidRDefault="00FE0B7A" w:rsidP="00FE0B7A">
      <w:pPr>
        <w:pStyle w:val="Doc-text2"/>
        <w:pBdr>
          <w:top w:val="single" w:sz="4" w:space="1" w:color="auto"/>
          <w:left w:val="single" w:sz="4" w:space="4" w:color="auto"/>
          <w:bottom w:val="single" w:sz="4" w:space="1" w:color="auto"/>
          <w:right w:val="single" w:sz="4" w:space="4" w:color="auto"/>
        </w:pBdr>
      </w:pPr>
      <w:r w:rsidRPr="000C3C1B">
        <w:t>5</w:t>
      </w:r>
      <w:r w:rsidRPr="000C3C1B">
        <w:tab/>
        <w:t>CHO execution does not trigger measurement report.</w:t>
      </w:r>
    </w:p>
    <w:p w:rsidR="00FE0B7A" w:rsidRPr="000C3C1B" w:rsidRDefault="00FE0B7A" w:rsidP="00FE0B7A">
      <w:pPr>
        <w:pStyle w:val="Doc-text2"/>
        <w:pBdr>
          <w:top w:val="single" w:sz="4" w:space="1" w:color="auto"/>
          <w:left w:val="single" w:sz="4" w:space="4" w:color="auto"/>
          <w:bottom w:val="single" w:sz="4" w:space="1" w:color="auto"/>
          <w:right w:val="single" w:sz="4" w:space="4" w:color="auto"/>
        </w:pBdr>
      </w:pPr>
      <w:r w:rsidRPr="000C3C1B">
        <w:t>6</w:t>
      </w:r>
      <w:r w:rsidRPr="000C3C1B">
        <w:tab/>
        <w:t xml:space="preserve">A3/A5-like CHO execution condition shall be specified. </w:t>
      </w:r>
    </w:p>
    <w:p w:rsidR="00FE0B7A" w:rsidRDefault="00FE0B7A" w:rsidP="0057625E">
      <w:pPr>
        <w:rPr>
          <w:lang w:val="en-US" w:eastAsia="zh-CN"/>
        </w:rPr>
      </w:pPr>
    </w:p>
    <w:p w:rsidR="00C636EE" w:rsidRDefault="00C636EE" w:rsidP="0057625E">
      <w:pPr>
        <w:rPr>
          <w:lang w:val="en-US" w:eastAsia="zh-CN"/>
        </w:rPr>
      </w:pPr>
      <w:r>
        <w:rPr>
          <w:lang w:val="en-US" w:eastAsia="zh-CN"/>
        </w:rPr>
        <w:t>From a RAN4 perspective, the most significant agreement</w:t>
      </w:r>
      <w:r w:rsidR="00B80003">
        <w:rPr>
          <w:lang w:val="en-US" w:eastAsia="zh-CN"/>
        </w:rPr>
        <w:t xml:space="preserve"> related to </w:t>
      </w:r>
      <w:r w:rsidR="008E5930">
        <w:rPr>
          <w:lang w:val="en-US" w:eastAsia="zh-CN"/>
        </w:rPr>
        <w:t>sim</w:t>
      </w:r>
      <w:r w:rsidR="002B59D3">
        <w:rPr>
          <w:lang w:val="en-US" w:eastAsia="zh-CN"/>
        </w:rPr>
        <w:t>ul</w:t>
      </w:r>
      <w:r w:rsidR="008E5930">
        <w:rPr>
          <w:lang w:val="en-US" w:eastAsia="zh-CN"/>
        </w:rPr>
        <w:t>taneous RX TX</w:t>
      </w:r>
      <w:r>
        <w:rPr>
          <w:lang w:val="en-US" w:eastAsia="zh-CN"/>
        </w:rPr>
        <w:t xml:space="preserve"> is that there is not simultaneous PUSCH and instead the physical layer uplink data path is switched when the UE successfully receives an uplink grant from the target cell. This does not imply that there would be no simultaneous UL transmission, since PRACH, PUCCH or SRS  could still be transmitted to the target cell before the UE first receives a grant, but nevertheless it limits the likely duration for which dual uplink would be transmitted.</w:t>
      </w:r>
      <w:r w:rsidR="008E5930">
        <w:rPr>
          <w:lang w:val="en-US" w:eastAsia="zh-CN"/>
        </w:rPr>
        <w:t xml:space="preserve"> For conditional handover, the agreements mostly clarify the procedure.</w:t>
      </w:r>
    </w:p>
    <w:p w:rsidR="005C75B8" w:rsidRDefault="005C75B8" w:rsidP="0057625E">
      <w:pPr>
        <w:rPr>
          <w:lang w:val="en-US" w:eastAsia="zh-CN"/>
        </w:rPr>
      </w:pPr>
      <w:r>
        <w:rPr>
          <w:lang w:val="en-US" w:eastAsia="zh-CN"/>
        </w:rPr>
        <w:t>We now turn our attention to the RAN4 requirements</w:t>
      </w:r>
    </w:p>
    <w:p w:rsidR="005C75B8" w:rsidRDefault="005C75B8" w:rsidP="005C75B8">
      <w:pPr>
        <w:pStyle w:val="Heading2"/>
        <w:rPr>
          <w:lang w:val="en-US" w:eastAsia="zh-CN"/>
        </w:rPr>
      </w:pPr>
      <w:r>
        <w:rPr>
          <w:lang w:val="en-US" w:eastAsia="zh-CN"/>
        </w:rPr>
        <w:t>RAN4 RRM requirements</w:t>
      </w:r>
    </w:p>
    <w:p w:rsidR="00427717" w:rsidRDefault="00427717" w:rsidP="00427717">
      <w:pPr>
        <w:pStyle w:val="ListParagraph"/>
        <w:rPr>
          <w:sz w:val="20"/>
          <w:szCs w:val="20"/>
          <w:lang w:val="en-GB" w:eastAsia="zh-CN"/>
        </w:rPr>
      </w:pPr>
    </w:p>
    <w:p w:rsidR="00427717" w:rsidRDefault="00427717" w:rsidP="00427717">
      <w:pPr>
        <w:pStyle w:val="Heading3"/>
        <w:rPr>
          <w:lang w:val="en-US" w:eastAsia="zh-CN"/>
        </w:rPr>
      </w:pPr>
      <w:r>
        <w:rPr>
          <w:lang w:val="en-US" w:eastAsia="zh-CN"/>
        </w:rPr>
        <w:t>Simultaneous RX TX</w:t>
      </w:r>
    </w:p>
    <w:p w:rsidR="00427717" w:rsidRDefault="00427717" w:rsidP="00427717">
      <w:r>
        <w:t>Based on the current RAN2 status, we still think it is premature to develop CRs or text proposals for requirements related to simultaneous reception or transmission in RAN4 until there is greater clarity on the direction that the feature(s) will take.</w:t>
      </w:r>
    </w:p>
    <w:p w:rsidR="00427717" w:rsidRDefault="00427717" w:rsidP="00427717">
      <w:pPr>
        <w:rPr>
          <w:b/>
        </w:rPr>
      </w:pPr>
      <w:r>
        <w:rPr>
          <w:b/>
        </w:rPr>
        <w:t>Proposal 1 : RAN4 awaits further progress on reduction of user data interruption during handover before concluding on necessary requirements for further enhanced handover with reduced interruption.</w:t>
      </w:r>
    </w:p>
    <w:p w:rsidR="00427717" w:rsidRDefault="00427717" w:rsidP="00427717">
      <w:r w:rsidRPr="00AA416B">
        <w:t>N</w:t>
      </w:r>
      <w:r>
        <w:t xml:space="preserve">evertheless, it is beneficial if RAN4 starts to do some initial analysis work so that the requirements can be developed more quickly if needed. Generally the idea for reduction in user data throughput should be to provide physical layer connectivity to both source and target cell with, ideally, 0ms interruption. Since the HO enhancements are based on CA-like/DC-like operations, in some cases 0ms interruption may not be feasible if starting a new RF chain or retuning bandwidth, since there are interruptions in CA/DC. In addition, something akin to handover delay would need to be specified, which indicates the latency between the UE receiving the handover command, and being ready to perform the simultaneous RX/TX operation. This includes RRC procedure delay for receiving the HO command, and time for the UE to reconfigure baseband and RF for the simultaneous operations. </w:t>
      </w:r>
    </w:p>
    <w:p w:rsidR="00427717" w:rsidRDefault="00427717" w:rsidP="00427717">
      <w:pPr>
        <w:rPr>
          <w:b/>
        </w:rPr>
      </w:pPr>
      <w:r>
        <w:rPr>
          <w:b/>
        </w:rPr>
        <w:t>Preliminary Proposal 2 : Interruption times are specified for simultaneous reception and transmission.</w:t>
      </w:r>
    </w:p>
    <w:p w:rsidR="00427717" w:rsidRDefault="00427717" w:rsidP="00427717">
      <w:pPr>
        <w:rPr>
          <w:b/>
        </w:rPr>
      </w:pPr>
      <w:r w:rsidRPr="00AA416B">
        <w:rPr>
          <w:b/>
        </w:rPr>
        <w:t>Preliminary Proposal 3 : Latency between the UE receiving the handover command, and being ready to perform the simultaneous RX/TX operation is specified.</w:t>
      </w:r>
    </w:p>
    <w:p w:rsidR="00427717" w:rsidRDefault="00427717" w:rsidP="00427717">
      <w:r w:rsidRPr="00AA416B">
        <w:t xml:space="preserve">For </w:t>
      </w:r>
      <w:r>
        <w:t>interruptions, we provide the following initial analysis</w:t>
      </w:r>
    </w:p>
    <w:p w:rsidR="00427717" w:rsidRDefault="00427717" w:rsidP="00427717">
      <w:pPr>
        <w:numPr>
          <w:ilvl w:val="0"/>
          <w:numId w:val="47"/>
        </w:numPr>
      </w:pPr>
      <w:r>
        <w:t>For intrafrequency handover where the target cell has the same or smaller BW than the source cell, the interruption should be 0ms. The UE RF is already receiving the target cell from an RF perspective (as interference) prior to the HO so the only issue is baseband processing to start decoding (and if there is dual uplink, baseband encoding) the target cell. There is no significant benefit to using a 2</w:t>
      </w:r>
      <w:r w:rsidRPr="00AA416B">
        <w:rPr>
          <w:vertAlign w:val="superscript"/>
        </w:rPr>
        <w:t>nd</w:t>
      </w:r>
      <w:r>
        <w:t xml:space="preserve"> RF chain for this scenario, since both RF chains would be operating on the same frequency, even if the scenario is an asynchronous intrafrequency handover.</w:t>
      </w:r>
    </w:p>
    <w:p w:rsidR="00427717" w:rsidRPr="002F2D7B" w:rsidRDefault="00427717" w:rsidP="00427717">
      <w:pPr>
        <w:ind w:left="720"/>
        <w:rPr>
          <w:b/>
        </w:rPr>
      </w:pPr>
      <w:r w:rsidRPr="002F2D7B">
        <w:rPr>
          <w:b/>
        </w:rPr>
        <w:t>Preliminary proposal 4 : 0ms interruption applies for an intrafrequency handover where the target cell has the same or smaller BW than the source cell</w:t>
      </w:r>
    </w:p>
    <w:p w:rsidR="00427717" w:rsidRDefault="00427717" w:rsidP="00427717">
      <w:pPr>
        <w:numPr>
          <w:ilvl w:val="0"/>
          <w:numId w:val="47"/>
        </w:numPr>
      </w:pPr>
      <w:r>
        <w:t>For intrafrequency handover where the target cell has greater BW the UE RF BW will need to be increased. This can be based on CA requirements, so 5ms interruption would apply in the synchronous case. For the async case, one additional subframe can be applied on either the source cell or the target cell  depending on whether the UE reconfigures its RF on the source cell subframe boundary or the target cell subframe boundary.</w:t>
      </w:r>
    </w:p>
    <w:p w:rsidR="00427717" w:rsidRDefault="00427717" w:rsidP="00427717">
      <w:pPr>
        <w:ind w:left="720"/>
        <w:rPr>
          <w:b/>
        </w:rPr>
      </w:pPr>
      <w:r w:rsidRPr="002F2D7B">
        <w:rPr>
          <w:b/>
        </w:rPr>
        <w:t xml:space="preserve">Preliminary proposal </w:t>
      </w:r>
      <w:r>
        <w:rPr>
          <w:b/>
        </w:rPr>
        <w:t>5</w:t>
      </w:r>
      <w:r w:rsidRPr="002F2D7B">
        <w:rPr>
          <w:b/>
        </w:rPr>
        <w:t xml:space="preserve"> : </w:t>
      </w:r>
      <w:r>
        <w:rPr>
          <w:b/>
        </w:rPr>
        <w:t>5</w:t>
      </w:r>
      <w:r w:rsidRPr="002F2D7B">
        <w:rPr>
          <w:b/>
        </w:rPr>
        <w:t>ms interruption applies for a</w:t>
      </w:r>
      <w:r>
        <w:rPr>
          <w:b/>
        </w:rPr>
        <w:t xml:space="preserve"> synchronous</w:t>
      </w:r>
      <w:r w:rsidRPr="002F2D7B">
        <w:rPr>
          <w:b/>
        </w:rPr>
        <w:t xml:space="preserve"> intra</w:t>
      </w:r>
      <w:r>
        <w:rPr>
          <w:b/>
        </w:rPr>
        <w:t>-</w:t>
      </w:r>
      <w:r w:rsidRPr="002F2D7B">
        <w:rPr>
          <w:b/>
        </w:rPr>
        <w:t xml:space="preserve">frequency handover where the target cell has </w:t>
      </w:r>
      <w:r w:rsidRPr="00DD66F3">
        <w:rPr>
          <w:b/>
        </w:rPr>
        <w:t>larger BW than the source cell. For async intra-frequency handover where the target cell has larger BW than the source cell, one additional subframe can be applied on either the source cell or the target cell</w:t>
      </w:r>
    </w:p>
    <w:p w:rsidR="00427717" w:rsidRPr="00427717" w:rsidRDefault="00427717" w:rsidP="00427717">
      <w:pPr>
        <w:ind w:left="720"/>
      </w:pPr>
      <w:r w:rsidRPr="00427717">
        <w:lastRenderedPageBreak/>
        <w:t>It could be noted</w:t>
      </w:r>
      <w:r>
        <w:t xml:space="preserve"> that 5ms interruption is considered from a downlink perspective with single RF chain to update the AGC. If asynchronous TX is to be supported, it needs dual TX chains. However, it is also clear that uplink interruption should not be less than downlink interruption otherwise there can be problems such as UE missing TA commands and HARQ feedback for transmissions. Hence, we propose that the uplink interruption should follow the downlink interruption. </w:t>
      </w:r>
      <w:r w:rsidRPr="00427717">
        <w:t xml:space="preserve"> </w:t>
      </w:r>
    </w:p>
    <w:p w:rsidR="00427717" w:rsidRPr="00DD66F3" w:rsidRDefault="00427717" w:rsidP="00427717">
      <w:pPr>
        <w:numPr>
          <w:ilvl w:val="0"/>
          <w:numId w:val="47"/>
        </w:numPr>
      </w:pPr>
      <w:r w:rsidRPr="00DD66F3">
        <w:t>For interband synchronous handover, 1ms interruption can be applied in the synchronous case, and for the async case one additional subframe can be applied on either the source cell or the target cell</w:t>
      </w:r>
    </w:p>
    <w:p w:rsidR="00427717" w:rsidRPr="002F2D7B" w:rsidRDefault="00427717" w:rsidP="00427717">
      <w:pPr>
        <w:ind w:left="720"/>
        <w:rPr>
          <w:b/>
        </w:rPr>
      </w:pPr>
      <w:r w:rsidRPr="002F2D7B">
        <w:rPr>
          <w:b/>
        </w:rPr>
        <w:t xml:space="preserve">Preliminary proposal </w:t>
      </w:r>
      <w:r>
        <w:rPr>
          <w:b/>
        </w:rPr>
        <w:t>6</w:t>
      </w:r>
      <w:r w:rsidRPr="002F2D7B">
        <w:rPr>
          <w:b/>
        </w:rPr>
        <w:t xml:space="preserve"> : </w:t>
      </w:r>
      <w:r>
        <w:rPr>
          <w:b/>
        </w:rPr>
        <w:t>1</w:t>
      </w:r>
      <w:r w:rsidRPr="002F2D7B">
        <w:rPr>
          <w:b/>
        </w:rPr>
        <w:t>ms interruption applies for an int</w:t>
      </w:r>
      <w:r>
        <w:rPr>
          <w:b/>
        </w:rPr>
        <w:t>erband</w:t>
      </w:r>
      <w:r w:rsidRPr="002F2D7B">
        <w:rPr>
          <w:b/>
        </w:rPr>
        <w:t xml:space="preserve"> </w:t>
      </w:r>
      <w:r>
        <w:rPr>
          <w:b/>
        </w:rPr>
        <w:t xml:space="preserve">synchronous </w:t>
      </w:r>
      <w:r w:rsidRPr="002F2D7B">
        <w:rPr>
          <w:b/>
        </w:rPr>
        <w:t>handover</w:t>
      </w:r>
      <w:r>
        <w:rPr>
          <w:b/>
        </w:rPr>
        <w:t>. F</w:t>
      </w:r>
      <w:r w:rsidRPr="00DD66F3">
        <w:rPr>
          <w:b/>
        </w:rPr>
        <w:t>or the async case one additional subframe can be applied on either the source cell or the target cell</w:t>
      </w:r>
    </w:p>
    <w:p w:rsidR="00427717" w:rsidRDefault="00427717" w:rsidP="00427717">
      <w:pPr>
        <w:numPr>
          <w:ilvl w:val="0"/>
          <w:numId w:val="47"/>
        </w:numPr>
      </w:pPr>
      <w:bookmarkStart w:id="1" w:name="_Hlk6922506"/>
      <w:r w:rsidRPr="00DD66F3">
        <w:t>For int</w:t>
      </w:r>
      <w:r>
        <w:t>ra</w:t>
      </w:r>
      <w:r w:rsidRPr="00DD66F3">
        <w:t>band</w:t>
      </w:r>
      <w:r>
        <w:t xml:space="preserve"> interfrequency case our assumption is that solutions will still be based on 2 RF chains, so proposal 6 can be reused. This may need further discussion if there is interfrequency handover to an adjacent frequency where a single RF chain could be considered, but we think it would be better to await a clearer understanding of the cases RAN2 </w:t>
      </w:r>
      <w:r w:rsidR="00461679">
        <w:t>intends</w:t>
      </w:r>
      <w:r>
        <w:t xml:space="preserve"> to specify before analysing the requirements for this case in too much detail.</w:t>
      </w:r>
    </w:p>
    <w:bookmarkEnd w:id="1"/>
    <w:p w:rsidR="00427717" w:rsidRPr="00427717" w:rsidRDefault="00427717" w:rsidP="00427717">
      <w:pPr>
        <w:ind w:left="360"/>
        <w:rPr>
          <w:lang w:eastAsia="zh-CN"/>
        </w:rPr>
      </w:pPr>
      <w:r>
        <w:rPr>
          <w:lang w:eastAsia="zh-CN"/>
        </w:rPr>
        <w:t xml:space="preserve">One discussion which took place in RAN4#91 was about single PA transmission for synchronous intrafrequency handover and how to handle the possible </w:t>
      </w:r>
      <w:r w:rsidR="00461679">
        <w:rPr>
          <w:lang w:eastAsia="zh-CN"/>
        </w:rPr>
        <w:t>non-contiguous</w:t>
      </w:r>
      <w:r>
        <w:rPr>
          <w:lang w:eastAsia="zh-CN"/>
        </w:rPr>
        <w:t xml:space="preserve"> PRB allocation considering transmission to both source and target cell. The discussion was about whether this case could be handled with power </w:t>
      </w:r>
      <w:r w:rsidR="00461679">
        <w:rPr>
          <w:lang w:eastAsia="zh-CN"/>
        </w:rPr>
        <w:t>back off</w:t>
      </w:r>
      <w:r>
        <w:rPr>
          <w:lang w:eastAsia="zh-CN"/>
        </w:rPr>
        <w:t xml:space="preserve"> or not. Such discussion needs to take place in RAN4 RF session considering the expertise necessary to conclude on it.</w:t>
      </w:r>
    </w:p>
    <w:p w:rsidR="00427717" w:rsidRPr="00427717" w:rsidRDefault="00427717" w:rsidP="00427717">
      <w:pPr>
        <w:rPr>
          <w:lang w:val="en-US" w:eastAsia="zh-CN"/>
        </w:rPr>
      </w:pPr>
    </w:p>
    <w:p w:rsidR="005C75B8" w:rsidRDefault="005C75B8" w:rsidP="005C75B8">
      <w:pPr>
        <w:pStyle w:val="Heading3"/>
        <w:rPr>
          <w:lang w:val="en-US" w:eastAsia="zh-CN"/>
        </w:rPr>
      </w:pPr>
      <w:r>
        <w:rPr>
          <w:lang w:val="en-US" w:eastAsia="zh-CN"/>
        </w:rPr>
        <w:t>Conditional handover</w:t>
      </w:r>
    </w:p>
    <w:p w:rsidR="005C75B8" w:rsidRDefault="005C75B8" w:rsidP="005C75B8">
      <w:pPr>
        <w:rPr>
          <w:lang w:val="en-US" w:eastAsia="zh-CN"/>
        </w:rPr>
      </w:pPr>
      <w:r>
        <w:rPr>
          <w:lang w:val="en-US" w:eastAsia="zh-CN"/>
        </w:rPr>
        <w:t xml:space="preserve">Firstly, we would like to clarify the starting point for the conditional handover delay and interruption time. In last meeting it was agreed that </w:t>
      </w:r>
      <w:r w:rsidRPr="005C75B8">
        <w:rPr>
          <w:i/>
          <w:lang w:val="en-US" w:eastAsia="zh-CN"/>
        </w:rPr>
        <w:t>The handover delay is defined from the time when handover condition is met to the time when the first PRACH preamble is transmitted.</w:t>
      </w:r>
      <w:r>
        <w:rPr>
          <w:lang w:val="en-US" w:eastAsia="zh-CN"/>
        </w:rPr>
        <w:t xml:space="preserve"> In our understanding, this means that the handover delay time starts when handover condition is met at the measurement reference point (antenna connector).</w:t>
      </w:r>
      <w:r w:rsidR="003A2C0F">
        <w:rPr>
          <w:lang w:val="en-US" w:eastAsia="zh-CN"/>
        </w:rPr>
        <w:t xml:space="preserve"> In NR mobility enhancements it has been discussed whether the handover delay should start at the time when the UE evaluates internally that the condition is met; in our view that would not be a proper way to define the requirement because the evaluation time itself could be unbounded.</w:t>
      </w:r>
    </w:p>
    <w:p w:rsidR="003A2C0F" w:rsidRPr="003A2C0F" w:rsidRDefault="003A2C0F" w:rsidP="005C75B8">
      <w:pPr>
        <w:rPr>
          <w:b/>
          <w:lang w:val="en-US" w:eastAsia="zh-CN"/>
        </w:rPr>
      </w:pPr>
      <w:r>
        <w:rPr>
          <w:b/>
          <w:lang w:val="en-US" w:eastAsia="zh-CN"/>
        </w:rPr>
        <w:t xml:space="preserve">Proposal </w:t>
      </w:r>
      <w:r w:rsidR="00427717">
        <w:rPr>
          <w:b/>
          <w:lang w:val="en-US" w:eastAsia="zh-CN"/>
        </w:rPr>
        <w:t>7</w:t>
      </w:r>
      <w:r>
        <w:rPr>
          <w:b/>
          <w:lang w:val="en-US" w:eastAsia="zh-CN"/>
        </w:rPr>
        <w:t xml:space="preserve"> : Start of handover delay (time when handover condition is met) is when the external signal at the measurement reference point first meets the handover condition.</w:t>
      </w:r>
    </w:p>
    <w:p w:rsidR="003A2C0F" w:rsidRDefault="003A2C0F" w:rsidP="005C75B8">
      <w:pPr>
        <w:rPr>
          <w:lang w:val="en-US" w:eastAsia="zh-CN"/>
        </w:rPr>
      </w:pPr>
      <w:r>
        <w:rPr>
          <w:lang w:val="en-US" w:eastAsia="zh-CN"/>
        </w:rPr>
        <w:t>Once the condition is met at the reference point, we can identify the different processing steps that are required until the PRACH preamble can be transmitted. There are many commonalities with the legacy (unconditional) handover in these steps and it is feasible to reuse much of the existing framework,</w:t>
      </w:r>
    </w:p>
    <w:p w:rsidR="003A2C0F" w:rsidRDefault="003A2C0F" w:rsidP="003A2C0F">
      <w:pPr>
        <w:pStyle w:val="ListParagraph"/>
        <w:numPr>
          <w:ilvl w:val="0"/>
          <w:numId w:val="46"/>
        </w:numPr>
        <w:rPr>
          <w:sz w:val="20"/>
          <w:szCs w:val="20"/>
          <w:lang w:val="en-US" w:eastAsia="zh-CN"/>
        </w:rPr>
      </w:pPr>
      <w:r w:rsidRPr="003A2C0F">
        <w:rPr>
          <w:sz w:val="20"/>
          <w:szCs w:val="20"/>
          <w:lang w:val="en-US" w:eastAsia="zh-CN"/>
        </w:rPr>
        <w:t xml:space="preserve">Evaluation of handover condition. This includes sampling, L1 filtering as well as (most likely) configurable L3 filter, time to trigger conditions etc. The evaluation is almost identical to an event evaluation, with the exception that instead of putting the information into an RRC message which is sent to the </w:t>
      </w:r>
      <w:r>
        <w:rPr>
          <w:sz w:val="20"/>
          <w:szCs w:val="20"/>
          <w:lang w:val="en-US" w:eastAsia="zh-CN"/>
        </w:rPr>
        <w:t>eNB, the UE is able to action the handover execution autonomously. This is in line with RAN2 agreements on the procedure. Likely this step may be slightly faster than being ready to transmit a measurement report, because the protocol and physical layers do not need to construct and encode an uplink message, and at any rate we assume that numerically, the same delay as event triggered reporting delay would be sufficient to determine that the handover condition is met</w:t>
      </w:r>
    </w:p>
    <w:p w:rsidR="003A2C0F" w:rsidRDefault="003A2C0F" w:rsidP="003A2C0F">
      <w:pPr>
        <w:pStyle w:val="ListParagraph"/>
        <w:rPr>
          <w:b/>
          <w:sz w:val="20"/>
          <w:szCs w:val="20"/>
          <w:lang w:val="en-US" w:eastAsia="zh-CN"/>
        </w:rPr>
      </w:pPr>
    </w:p>
    <w:p w:rsidR="003A2C0F" w:rsidRDefault="003A2C0F" w:rsidP="003A2C0F">
      <w:pPr>
        <w:pStyle w:val="ListParagraph"/>
        <w:rPr>
          <w:b/>
          <w:sz w:val="20"/>
          <w:szCs w:val="20"/>
          <w:lang w:val="en-US" w:eastAsia="zh-CN"/>
        </w:rPr>
      </w:pPr>
      <w:r>
        <w:rPr>
          <w:b/>
          <w:sz w:val="20"/>
          <w:szCs w:val="20"/>
          <w:lang w:val="en-US" w:eastAsia="zh-CN"/>
        </w:rPr>
        <w:t xml:space="preserve">Proposal </w:t>
      </w:r>
      <w:r w:rsidR="00427717">
        <w:rPr>
          <w:b/>
          <w:sz w:val="20"/>
          <w:szCs w:val="20"/>
          <w:lang w:val="en-US" w:eastAsia="zh-CN"/>
        </w:rPr>
        <w:t>8</w:t>
      </w:r>
      <w:r>
        <w:rPr>
          <w:b/>
          <w:sz w:val="20"/>
          <w:szCs w:val="20"/>
          <w:lang w:val="en-US" w:eastAsia="zh-CN"/>
        </w:rPr>
        <w:t xml:space="preserve"> : Event triggered reporting delay requirement</w:t>
      </w:r>
      <w:r w:rsidR="00820DBE">
        <w:rPr>
          <w:b/>
          <w:sz w:val="20"/>
          <w:szCs w:val="20"/>
          <w:lang w:val="en-US" w:eastAsia="zh-CN"/>
        </w:rPr>
        <w:t>, Tevent</w:t>
      </w:r>
      <w:r>
        <w:rPr>
          <w:b/>
          <w:sz w:val="20"/>
          <w:szCs w:val="20"/>
          <w:lang w:val="en-US" w:eastAsia="zh-CN"/>
        </w:rPr>
        <w:t xml:space="preserve"> is reused to determine the time allowed for the UE to perform event evaluation</w:t>
      </w:r>
      <w:r w:rsidR="00AF40F0">
        <w:rPr>
          <w:b/>
          <w:sz w:val="20"/>
          <w:szCs w:val="20"/>
          <w:lang w:val="en-US" w:eastAsia="zh-CN"/>
        </w:rPr>
        <w:t xml:space="preserve"> (intra or interfrequency requirement as relevant).</w:t>
      </w:r>
    </w:p>
    <w:p w:rsidR="00AF40F0" w:rsidRDefault="00AF40F0" w:rsidP="003A2C0F">
      <w:pPr>
        <w:pStyle w:val="ListParagraph"/>
        <w:rPr>
          <w:b/>
          <w:sz w:val="20"/>
          <w:szCs w:val="20"/>
          <w:lang w:val="en-US" w:eastAsia="zh-CN"/>
        </w:rPr>
      </w:pPr>
    </w:p>
    <w:p w:rsidR="00AF40F0" w:rsidRPr="00AF40F0" w:rsidRDefault="00AF40F0" w:rsidP="003A2C0F">
      <w:pPr>
        <w:pStyle w:val="ListParagraph"/>
        <w:rPr>
          <w:sz w:val="20"/>
          <w:szCs w:val="20"/>
          <w:lang w:val="en-US" w:eastAsia="zh-CN"/>
        </w:rPr>
      </w:pPr>
      <w:r w:rsidRPr="00AF40F0">
        <w:rPr>
          <w:sz w:val="20"/>
          <w:szCs w:val="20"/>
          <w:lang w:val="en-US" w:eastAsia="zh-CN"/>
        </w:rPr>
        <w:t>We</w:t>
      </w:r>
      <w:r>
        <w:rPr>
          <w:sz w:val="20"/>
          <w:szCs w:val="20"/>
          <w:lang w:val="en-US" w:eastAsia="zh-CN"/>
        </w:rPr>
        <w:t xml:space="preserve"> denote this delay which is numerically the same as event triggered reporting delay as T</w:t>
      </w:r>
      <w:r w:rsidRPr="00AF40F0">
        <w:rPr>
          <w:sz w:val="20"/>
          <w:szCs w:val="20"/>
          <w:vertAlign w:val="subscript"/>
          <w:lang w:val="en-US" w:eastAsia="zh-CN"/>
        </w:rPr>
        <w:t>pseduo-event</w:t>
      </w:r>
    </w:p>
    <w:p w:rsidR="003A2C0F" w:rsidRDefault="003A2C0F" w:rsidP="003A2C0F">
      <w:pPr>
        <w:pStyle w:val="ListParagraph"/>
        <w:rPr>
          <w:sz w:val="20"/>
          <w:szCs w:val="20"/>
          <w:lang w:val="en-US" w:eastAsia="zh-CN"/>
        </w:rPr>
      </w:pPr>
    </w:p>
    <w:p w:rsidR="003A2C0F" w:rsidRDefault="003A2C0F" w:rsidP="003A2C0F">
      <w:pPr>
        <w:pStyle w:val="ListParagraph"/>
        <w:numPr>
          <w:ilvl w:val="0"/>
          <w:numId w:val="46"/>
        </w:numPr>
        <w:rPr>
          <w:sz w:val="20"/>
          <w:szCs w:val="20"/>
          <w:lang w:val="en-US" w:eastAsia="zh-CN"/>
        </w:rPr>
      </w:pPr>
      <w:r>
        <w:rPr>
          <w:sz w:val="20"/>
          <w:szCs w:val="20"/>
          <w:lang w:val="en-US" w:eastAsia="zh-CN"/>
        </w:rPr>
        <w:t xml:space="preserve">UE internal reconfiguration to start actioning the </w:t>
      </w:r>
      <w:r w:rsidR="00E73F26">
        <w:rPr>
          <w:sz w:val="20"/>
          <w:szCs w:val="20"/>
          <w:lang w:val="en-US" w:eastAsia="zh-CN"/>
        </w:rPr>
        <w:t xml:space="preserve">handover. This component was discussed in RAN4#91. Although the numerical value of this delay depends completely on UE implementation, one observation is that it should be upper bounded by the RRC procedure delay of the legacy HO procedure, which is </w:t>
      </w:r>
      <w:r w:rsidR="008C59F9">
        <w:rPr>
          <w:sz w:val="20"/>
          <w:szCs w:val="20"/>
          <w:lang w:val="en-US" w:eastAsia="zh-CN"/>
        </w:rPr>
        <w:t>15ms</w:t>
      </w:r>
    </w:p>
    <w:p w:rsidR="008C59F9" w:rsidRDefault="008C59F9" w:rsidP="008C59F9">
      <w:pPr>
        <w:pStyle w:val="ListParagraph"/>
        <w:rPr>
          <w:b/>
          <w:sz w:val="20"/>
          <w:szCs w:val="20"/>
          <w:lang w:val="en-US" w:eastAsia="zh-CN"/>
        </w:rPr>
      </w:pPr>
      <w:r>
        <w:rPr>
          <w:b/>
          <w:sz w:val="20"/>
          <w:szCs w:val="20"/>
          <w:lang w:val="en-US" w:eastAsia="zh-CN"/>
        </w:rPr>
        <w:t xml:space="preserve">Proposal </w:t>
      </w:r>
      <w:r w:rsidR="00427717">
        <w:rPr>
          <w:b/>
          <w:sz w:val="20"/>
          <w:szCs w:val="20"/>
          <w:lang w:val="en-US" w:eastAsia="zh-CN"/>
        </w:rPr>
        <w:t>9</w:t>
      </w:r>
      <w:r>
        <w:rPr>
          <w:b/>
          <w:sz w:val="20"/>
          <w:szCs w:val="20"/>
          <w:lang w:val="en-US" w:eastAsia="zh-CN"/>
        </w:rPr>
        <w:t xml:space="preserve"> : Maximum UE internal reconfiguration delay Treconfigure is specified as 15ms</w:t>
      </w:r>
    </w:p>
    <w:p w:rsidR="008C59F9" w:rsidRDefault="008C59F9" w:rsidP="008C59F9">
      <w:pPr>
        <w:pStyle w:val="ListParagraph"/>
        <w:rPr>
          <w:b/>
          <w:sz w:val="20"/>
          <w:szCs w:val="20"/>
          <w:lang w:val="en-US" w:eastAsia="zh-CN"/>
        </w:rPr>
      </w:pPr>
    </w:p>
    <w:p w:rsidR="008C59F9" w:rsidRDefault="008C59F9" w:rsidP="003A2C0F">
      <w:pPr>
        <w:pStyle w:val="ListParagraph"/>
        <w:numPr>
          <w:ilvl w:val="0"/>
          <w:numId w:val="46"/>
        </w:numPr>
        <w:rPr>
          <w:sz w:val="20"/>
          <w:szCs w:val="20"/>
          <w:lang w:val="en-US" w:eastAsia="zh-CN"/>
        </w:rPr>
      </w:pPr>
      <w:r>
        <w:rPr>
          <w:sz w:val="20"/>
          <w:szCs w:val="20"/>
          <w:lang w:val="en-US" w:eastAsia="zh-CN"/>
        </w:rPr>
        <w:t>Handover execution : Once the UE is ready to start executing the handover, the remaining steps follow the legacy handover delay.</w:t>
      </w:r>
      <w:r w:rsidR="00AF40F0">
        <w:rPr>
          <w:sz w:val="20"/>
          <w:szCs w:val="20"/>
          <w:lang w:val="en-US" w:eastAsia="zh-CN"/>
        </w:rPr>
        <w:t xml:space="preserve"> Since the UE has measured the target cell, there is no blind handover case, and hence Tsearch=0ms.</w:t>
      </w:r>
      <w:r w:rsidR="00427717">
        <w:rPr>
          <w:sz w:val="20"/>
          <w:szCs w:val="20"/>
          <w:lang w:val="en-US" w:eastAsia="zh-CN"/>
        </w:rPr>
        <w:t xml:space="preserve"> There was some discussion on whether Tsearch should be included in RAN4#91 but we do not understand the rationale, considering that the UE needs to measure the target cell so as to determine that the CHO condition is met.</w:t>
      </w:r>
    </w:p>
    <w:p w:rsidR="008C59F9" w:rsidRPr="008C59F9" w:rsidRDefault="008C59F9" w:rsidP="008C59F9">
      <w:pPr>
        <w:pStyle w:val="ListParagraph"/>
        <w:rPr>
          <w:b/>
          <w:sz w:val="20"/>
          <w:szCs w:val="20"/>
          <w:lang w:val="en-US" w:eastAsia="zh-CN"/>
        </w:rPr>
      </w:pPr>
      <w:r>
        <w:rPr>
          <w:b/>
          <w:sz w:val="20"/>
          <w:szCs w:val="20"/>
          <w:lang w:val="en-US" w:eastAsia="zh-CN"/>
        </w:rPr>
        <w:lastRenderedPageBreak/>
        <w:t xml:space="preserve">Proposal </w:t>
      </w:r>
      <w:r w:rsidR="00427717">
        <w:rPr>
          <w:b/>
          <w:sz w:val="20"/>
          <w:szCs w:val="20"/>
          <w:lang w:val="en-US" w:eastAsia="zh-CN"/>
        </w:rPr>
        <w:t>10</w:t>
      </w:r>
      <w:r>
        <w:rPr>
          <w:b/>
          <w:sz w:val="20"/>
          <w:szCs w:val="20"/>
          <w:lang w:val="en-US" w:eastAsia="zh-CN"/>
        </w:rPr>
        <w:t xml:space="preserve"> : Handover </w:t>
      </w:r>
      <w:r w:rsidR="00427717">
        <w:rPr>
          <w:b/>
          <w:sz w:val="20"/>
          <w:szCs w:val="20"/>
          <w:lang w:val="en-US" w:eastAsia="zh-CN"/>
        </w:rPr>
        <w:t>interruption</w:t>
      </w:r>
      <w:r w:rsidR="00AF40F0">
        <w:rPr>
          <w:b/>
          <w:sz w:val="20"/>
          <w:szCs w:val="20"/>
          <w:lang w:val="en-US" w:eastAsia="zh-CN"/>
        </w:rPr>
        <w:t xml:space="preserve"> duration</w:t>
      </w:r>
      <w:r>
        <w:rPr>
          <w:b/>
          <w:sz w:val="20"/>
          <w:szCs w:val="20"/>
          <w:lang w:val="en-US" w:eastAsia="zh-CN"/>
        </w:rPr>
        <w:t xml:space="preserve"> shall be specified as </w:t>
      </w:r>
      <w:r w:rsidR="00AF40F0" w:rsidRPr="00AF40F0">
        <w:rPr>
          <w:b/>
        </w:rPr>
        <w:t>T</w:t>
      </w:r>
      <w:r w:rsidR="00AF40F0" w:rsidRPr="00AF40F0">
        <w:rPr>
          <w:b/>
          <w:vertAlign w:val="subscript"/>
        </w:rPr>
        <w:t>IU</w:t>
      </w:r>
      <w:r w:rsidR="00AF40F0" w:rsidRPr="00AF40F0">
        <w:rPr>
          <w:b/>
        </w:rPr>
        <w:t xml:space="preserve"> + 20 ms</w:t>
      </w:r>
    </w:p>
    <w:p w:rsidR="003A2C0F" w:rsidRDefault="003A2C0F" w:rsidP="003A2C0F">
      <w:pPr>
        <w:pStyle w:val="ListParagraph"/>
        <w:rPr>
          <w:b/>
          <w:sz w:val="20"/>
          <w:szCs w:val="20"/>
          <w:lang w:val="en-US" w:eastAsia="zh-CN"/>
        </w:rPr>
      </w:pPr>
    </w:p>
    <w:p w:rsidR="003A2C0F" w:rsidRDefault="00AF40F0" w:rsidP="003A2C0F">
      <w:pPr>
        <w:pStyle w:val="ListParagraph"/>
        <w:rPr>
          <w:sz w:val="20"/>
          <w:szCs w:val="20"/>
          <w:lang w:val="en-US" w:eastAsia="zh-CN"/>
        </w:rPr>
      </w:pPr>
      <w:r>
        <w:rPr>
          <w:sz w:val="20"/>
          <w:szCs w:val="20"/>
          <w:lang w:val="en-US" w:eastAsia="zh-CN"/>
        </w:rPr>
        <w:t>Putting proposals 2,3 and 4 together gives</w:t>
      </w:r>
    </w:p>
    <w:p w:rsidR="00AF40F0" w:rsidRDefault="00AF40F0" w:rsidP="003A2C0F">
      <w:pPr>
        <w:pStyle w:val="ListParagraph"/>
        <w:rPr>
          <w:sz w:val="20"/>
          <w:szCs w:val="20"/>
          <w:lang w:val="en-US" w:eastAsia="zh-CN"/>
        </w:rPr>
      </w:pPr>
    </w:p>
    <w:p w:rsidR="00AF40F0" w:rsidRDefault="00AF40F0" w:rsidP="003A2C0F">
      <w:pPr>
        <w:pStyle w:val="ListParagraph"/>
        <w:rPr>
          <w:lang w:val="en-GB"/>
        </w:rPr>
      </w:pPr>
      <w:r w:rsidRPr="00AF40F0">
        <w:rPr>
          <w:sz w:val="20"/>
          <w:szCs w:val="20"/>
          <w:lang w:val="en-US" w:eastAsia="zh-CN"/>
        </w:rPr>
        <w:t>D</w:t>
      </w:r>
      <w:r w:rsidRPr="00AF40F0">
        <w:rPr>
          <w:sz w:val="20"/>
          <w:szCs w:val="20"/>
          <w:vertAlign w:val="subscript"/>
          <w:lang w:val="en-US" w:eastAsia="zh-CN"/>
        </w:rPr>
        <w:t>CHO</w:t>
      </w:r>
      <w:r w:rsidRPr="00AF40F0">
        <w:rPr>
          <w:sz w:val="20"/>
          <w:szCs w:val="20"/>
          <w:lang w:val="en-US" w:eastAsia="zh-CN"/>
        </w:rPr>
        <w:t xml:space="preserve"> = </w:t>
      </w:r>
      <w:r>
        <w:rPr>
          <w:sz w:val="20"/>
          <w:szCs w:val="20"/>
          <w:lang w:val="en-US" w:eastAsia="zh-CN"/>
        </w:rPr>
        <w:t>T</w:t>
      </w:r>
      <w:r w:rsidRPr="00AF40F0">
        <w:rPr>
          <w:sz w:val="20"/>
          <w:szCs w:val="20"/>
          <w:vertAlign w:val="subscript"/>
          <w:lang w:val="en-US" w:eastAsia="zh-CN"/>
        </w:rPr>
        <w:t>pseduo-event</w:t>
      </w:r>
      <w:r w:rsidRPr="00AF40F0">
        <w:t xml:space="preserve"> </w:t>
      </w:r>
      <w:r w:rsidRPr="00AF40F0">
        <w:rPr>
          <w:lang w:val="en-GB"/>
        </w:rPr>
        <w:t>+</w:t>
      </w:r>
      <w:r w:rsidRPr="00AF40F0">
        <w:t>T</w:t>
      </w:r>
      <w:r w:rsidRPr="00AF40F0">
        <w:rPr>
          <w:vertAlign w:val="subscript"/>
        </w:rPr>
        <w:t>IU</w:t>
      </w:r>
      <w:r w:rsidRPr="00AF40F0">
        <w:t xml:space="preserve"> + </w:t>
      </w:r>
      <w:r w:rsidRPr="00AF40F0">
        <w:rPr>
          <w:lang w:val="en-GB"/>
        </w:rPr>
        <w:t>35ms</w:t>
      </w:r>
    </w:p>
    <w:p w:rsidR="00AF40F0" w:rsidRDefault="00AF40F0" w:rsidP="003A2C0F">
      <w:pPr>
        <w:pStyle w:val="ListParagraph"/>
        <w:rPr>
          <w:lang w:val="en-GB"/>
        </w:rPr>
      </w:pPr>
    </w:p>
    <w:p w:rsidR="00AF40F0" w:rsidRDefault="00AF40F0" w:rsidP="003A2C0F">
      <w:pPr>
        <w:pStyle w:val="ListParagraph"/>
        <w:rPr>
          <w:sz w:val="20"/>
          <w:szCs w:val="20"/>
          <w:lang w:val="en-GB" w:eastAsia="zh-CN"/>
        </w:rPr>
      </w:pPr>
    </w:p>
    <w:p w:rsidR="00AF40F0" w:rsidRDefault="00AF40F0" w:rsidP="003A2C0F">
      <w:pPr>
        <w:pStyle w:val="ListParagraph"/>
        <w:rPr>
          <w:sz w:val="20"/>
          <w:szCs w:val="20"/>
          <w:lang w:val="en-US" w:eastAsia="zh-CN"/>
        </w:rPr>
      </w:pPr>
      <w:r>
        <w:rPr>
          <w:sz w:val="20"/>
          <w:szCs w:val="20"/>
          <w:lang w:val="en-GB" w:eastAsia="zh-CN"/>
        </w:rPr>
        <w:t xml:space="preserve">For the handover interruption time, the UE may start to perform the handover at any time once the handover condition is met at the antenna connector. Although the UE is required to filter measurements and evaluate the condition in a proper way, </w:t>
      </w:r>
      <w:r>
        <w:rPr>
          <w:sz w:val="20"/>
          <w:szCs w:val="20"/>
          <w:lang w:val="en-US" w:eastAsia="zh-CN"/>
        </w:rPr>
        <w:t>T</w:t>
      </w:r>
      <w:r w:rsidRPr="00AF40F0">
        <w:rPr>
          <w:sz w:val="20"/>
          <w:szCs w:val="20"/>
          <w:vertAlign w:val="subscript"/>
          <w:lang w:val="en-US" w:eastAsia="zh-CN"/>
        </w:rPr>
        <w:t>pseduo-event</w:t>
      </w:r>
      <w:r>
        <w:rPr>
          <w:sz w:val="20"/>
          <w:szCs w:val="20"/>
          <w:vertAlign w:val="subscript"/>
          <w:lang w:val="en-US" w:eastAsia="zh-CN"/>
        </w:rPr>
        <w:t xml:space="preserve"> </w:t>
      </w:r>
      <w:r>
        <w:rPr>
          <w:sz w:val="20"/>
          <w:szCs w:val="20"/>
          <w:lang w:val="en-US" w:eastAsia="zh-CN"/>
        </w:rPr>
        <w:t>is only a minimum requirement, it may not take as long as T</w:t>
      </w:r>
      <w:r w:rsidRPr="00AF40F0">
        <w:rPr>
          <w:sz w:val="20"/>
          <w:szCs w:val="20"/>
          <w:vertAlign w:val="subscript"/>
          <w:lang w:val="en-US" w:eastAsia="zh-CN"/>
        </w:rPr>
        <w:t>pseduo-event</w:t>
      </w:r>
      <w:r>
        <w:rPr>
          <w:sz w:val="20"/>
          <w:szCs w:val="20"/>
          <w:lang w:val="en-US" w:eastAsia="zh-CN"/>
        </w:rPr>
        <w:t xml:space="preserve"> before the handover procedures are internally started.</w:t>
      </w:r>
      <w:r w:rsidR="00C0154F">
        <w:rPr>
          <w:sz w:val="20"/>
          <w:szCs w:val="20"/>
          <w:lang w:val="en-US" w:eastAsia="zh-CN"/>
        </w:rPr>
        <w:t xml:space="preserve"> In the same way, a UE that does not need 15ms to prepare for handover after detecting the pseudo-event should also be expected to start handover execution earlier.</w:t>
      </w:r>
      <w:r>
        <w:rPr>
          <w:sz w:val="20"/>
          <w:szCs w:val="20"/>
          <w:lang w:val="en-US" w:eastAsia="zh-CN"/>
        </w:rPr>
        <w:t xml:space="preserve"> In this case, since the HO is started earlier, it is also a reasonable expectation that (</w:t>
      </w:r>
      <w:r w:rsidR="00083E3F">
        <w:rPr>
          <w:sz w:val="20"/>
          <w:szCs w:val="20"/>
          <w:lang w:val="en-US" w:eastAsia="zh-CN"/>
        </w:rPr>
        <w:t>analogous</w:t>
      </w:r>
      <w:r>
        <w:rPr>
          <w:sz w:val="20"/>
          <w:szCs w:val="20"/>
          <w:lang w:val="en-US" w:eastAsia="zh-CN"/>
        </w:rPr>
        <w:t xml:space="preserve"> to a legacy HO where the UE has faster RRC processing delay) the interruption time</w:t>
      </w:r>
      <w:r w:rsidR="00083E3F">
        <w:rPr>
          <w:sz w:val="20"/>
          <w:szCs w:val="20"/>
          <w:lang w:val="en-US" w:eastAsia="zh-CN"/>
        </w:rPr>
        <w:t xml:space="preserve"> is given by</w:t>
      </w:r>
    </w:p>
    <w:p w:rsidR="00083E3F" w:rsidRDefault="00083E3F" w:rsidP="00083E3F">
      <w:pPr>
        <w:pStyle w:val="ListParagraph"/>
        <w:rPr>
          <w:sz w:val="20"/>
          <w:szCs w:val="20"/>
          <w:lang w:val="en-US" w:eastAsia="zh-CN"/>
        </w:rPr>
      </w:pPr>
    </w:p>
    <w:p w:rsidR="00083E3F" w:rsidRDefault="00C0154F" w:rsidP="00083E3F">
      <w:pPr>
        <w:pStyle w:val="ListParagraph"/>
        <w:rPr>
          <w:lang w:val="en-GB"/>
        </w:rPr>
      </w:pPr>
      <w:r>
        <w:rPr>
          <w:sz w:val="20"/>
          <w:szCs w:val="20"/>
          <w:lang w:val="en-US" w:eastAsia="zh-CN"/>
        </w:rPr>
        <w:t>T</w:t>
      </w:r>
      <w:r>
        <w:rPr>
          <w:sz w:val="20"/>
          <w:szCs w:val="20"/>
          <w:vertAlign w:val="subscript"/>
          <w:lang w:val="en-US" w:eastAsia="zh-CN"/>
        </w:rPr>
        <w:t>interrupt,CHO</w:t>
      </w:r>
      <w:r w:rsidR="00083E3F" w:rsidRPr="00AF40F0">
        <w:rPr>
          <w:sz w:val="20"/>
          <w:szCs w:val="20"/>
          <w:lang w:val="en-US" w:eastAsia="zh-CN"/>
        </w:rPr>
        <w:t xml:space="preserve"> = </w:t>
      </w:r>
      <w:r w:rsidR="00083E3F" w:rsidRPr="00AF40F0">
        <w:t>T</w:t>
      </w:r>
      <w:r w:rsidR="00083E3F" w:rsidRPr="00AF40F0">
        <w:rPr>
          <w:vertAlign w:val="subscript"/>
        </w:rPr>
        <w:t>IU</w:t>
      </w:r>
      <w:r w:rsidR="00083E3F" w:rsidRPr="00AF40F0">
        <w:t xml:space="preserve"> + </w:t>
      </w:r>
      <w:r>
        <w:rPr>
          <w:lang w:val="en-GB"/>
        </w:rPr>
        <w:t>20</w:t>
      </w:r>
      <w:r w:rsidR="00083E3F" w:rsidRPr="00AF40F0">
        <w:rPr>
          <w:lang w:val="en-GB"/>
        </w:rPr>
        <w:t>ms</w:t>
      </w:r>
    </w:p>
    <w:p w:rsidR="006B6666" w:rsidRDefault="006B6666" w:rsidP="006B6666">
      <w:pPr>
        <w:pStyle w:val="Heading1"/>
        <w:jc w:val="both"/>
        <w:rPr>
          <w:rFonts w:eastAsia="SimSun"/>
          <w:lang w:val="en-US" w:eastAsia="zh-CN"/>
        </w:rPr>
      </w:pPr>
      <w:r>
        <w:rPr>
          <w:rFonts w:eastAsia="SimSun"/>
          <w:lang w:val="en-US" w:eastAsia="zh-CN"/>
        </w:rPr>
        <w:t>Conclusions</w:t>
      </w:r>
    </w:p>
    <w:p w:rsidR="00427717" w:rsidRPr="005B4F10" w:rsidRDefault="00427717" w:rsidP="00427717">
      <w:pPr>
        <w:rPr>
          <w:b/>
        </w:rPr>
      </w:pPr>
      <w:r w:rsidRPr="005B4F10">
        <w:rPr>
          <w:b/>
        </w:rPr>
        <w:t>Proposal 1 : RAN4 awaits further progress on reduction of user data interruption during handover before concluding on necessary requirements for further enhanced handover with reduced interruption.</w:t>
      </w:r>
    </w:p>
    <w:p w:rsidR="00427717" w:rsidRPr="005B4F10" w:rsidRDefault="00427717" w:rsidP="00427717">
      <w:pPr>
        <w:rPr>
          <w:b/>
        </w:rPr>
      </w:pPr>
      <w:r w:rsidRPr="005B4F10">
        <w:rPr>
          <w:b/>
        </w:rPr>
        <w:t>Preliminary Proposal 2 : Interruption times are specified for simultaneous reception and transmission.</w:t>
      </w:r>
    </w:p>
    <w:p w:rsidR="00427717" w:rsidRPr="005B4F10" w:rsidRDefault="00427717" w:rsidP="00427717">
      <w:pPr>
        <w:rPr>
          <w:b/>
        </w:rPr>
      </w:pPr>
      <w:r w:rsidRPr="005B4F10">
        <w:rPr>
          <w:b/>
        </w:rPr>
        <w:t>Preliminary Proposal 3 : Latency between the UE receiving the handover command, and being ready to perform the simultaneous RX/TX operation is specified.</w:t>
      </w:r>
    </w:p>
    <w:p w:rsidR="005B4F10" w:rsidRPr="005B4F10" w:rsidRDefault="005B4F10" w:rsidP="005B4F10">
      <w:pPr>
        <w:rPr>
          <w:b/>
        </w:rPr>
      </w:pPr>
      <w:r w:rsidRPr="005B4F10">
        <w:rPr>
          <w:b/>
        </w:rPr>
        <w:t>Preliminary proposal 4 : 0ms interruption applies for an intrafrequency handover where the target cell has the same or smaller BW than the source cell</w:t>
      </w:r>
    </w:p>
    <w:p w:rsidR="005B4F10" w:rsidRPr="005B4F10" w:rsidRDefault="005B4F10" w:rsidP="005B4F10">
      <w:pPr>
        <w:rPr>
          <w:b/>
        </w:rPr>
      </w:pPr>
      <w:r w:rsidRPr="005B4F10">
        <w:rPr>
          <w:b/>
        </w:rPr>
        <w:t>Preliminary proposal 5 : 5ms interruption applies for a synchronous intra-frequency handover where the target cell has larger BW than the source cell. For async intra-frequency handover where the target cell has larger BW than the source cell, one additional subframe can be applied on either the source cell or the target cell</w:t>
      </w:r>
    </w:p>
    <w:p w:rsidR="00427717" w:rsidRPr="005B4F10" w:rsidRDefault="005B4F10" w:rsidP="005B4F10">
      <w:pPr>
        <w:rPr>
          <w:lang w:val="en-US" w:eastAsia="zh-CN"/>
        </w:rPr>
      </w:pPr>
      <w:r w:rsidRPr="005B4F10">
        <w:rPr>
          <w:b/>
        </w:rPr>
        <w:t>Preliminary proposal 6 : 1ms interruption applies for an interband synchronous handover. For the async case one additional subframe can be applied on either the source cell or the target cell</w:t>
      </w:r>
    </w:p>
    <w:p w:rsidR="00427717" w:rsidRPr="005B4F10" w:rsidRDefault="00427717" w:rsidP="005B4F10">
      <w:pPr>
        <w:rPr>
          <w:b/>
          <w:lang w:val="en-US" w:eastAsia="zh-CN"/>
        </w:rPr>
      </w:pPr>
      <w:r w:rsidRPr="005B4F10">
        <w:rPr>
          <w:b/>
          <w:lang w:val="en-US" w:eastAsia="zh-CN"/>
        </w:rPr>
        <w:t>Proposal 7 : Start of handover delay (time when handover condition is met) is when the external signal at the measurement reference point first meets the handover condition.</w:t>
      </w:r>
    </w:p>
    <w:p w:rsidR="00427717" w:rsidRPr="005B4F10" w:rsidRDefault="00427717" w:rsidP="005B4F10">
      <w:pPr>
        <w:pStyle w:val="ListParagraph"/>
        <w:ind w:left="0"/>
        <w:rPr>
          <w:b/>
          <w:sz w:val="20"/>
          <w:szCs w:val="20"/>
          <w:lang w:val="en-US" w:eastAsia="zh-CN"/>
        </w:rPr>
      </w:pPr>
      <w:r w:rsidRPr="005B4F10">
        <w:rPr>
          <w:b/>
          <w:sz w:val="20"/>
          <w:szCs w:val="20"/>
          <w:lang w:val="en-US" w:eastAsia="zh-CN"/>
        </w:rPr>
        <w:t>Proposal 8 : Event triggered reporting delay requirement, Tevent is reused to determine the time allowed for the UE to perform event evaluation (intra or interfrequency requirement as relevant).</w:t>
      </w:r>
    </w:p>
    <w:p w:rsidR="00427717" w:rsidRPr="005B4F10" w:rsidRDefault="00427717" w:rsidP="005B4F10">
      <w:pPr>
        <w:pStyle w:val="ListParagraph"/>
        <w:ind w:left="0"/>
        <w:rPr>
          <w:b/>
          <w:sz w:val="20"/>
          <w:szCs w:val="20"/>
          <w:lang w:val="en-US" w:eastAsia="zh-CN"/>
        </w:rPr>
      </w:pPr>
    </w:p>
    <w:p w:rsidR="00427717" w:rsidRPr="005B4F10" w:rsidRDefault="00427717" w:rsidP="005B4F10">
      <w:pPr>
        <w:pStyle w:val="ListParagraph"/>
        <w:ind w:left="0"/>
        <w:rPr>
          <w:b/>
          <w:sz w:val="20"/>
          <w:szCs w:val="20"/>
          <w:lang w:val="en-US" w:eastAsia="zh-CN"/>
        </w:rPr>
      </w:pPr>
      <w:r w:rsidRPr="005B4F10">
        <w:rPr>
          <w:b/>
          <w:sz w:val="20"/>
          <w:szCs w:val="20"/>
          <w:lang w:val="en-US" w:eastAsia="zh-CN"/>
        </w:rPr>
        <w:t>Proposal 9 : Maximum UE internal reconfiguration delay Treconfigure is specified as 15ms</w:t>
      </w:r>
    </w:p>
    <w:p w:rsidR="00427717" w:rsidRPr="005B4F10" w:rsidRDefault="00427717" w:rsidP="005B4F10">
      <w:pPr>
        <w:pStyle w:val="ListParagraph"/>
        <w:ind w:left="0"/>
        <w:rPr>
          <w:b/>
          <w:sz w:val="20"/>
          <w:szCs w:val="20"/>
          <w:lang w:val="en-US" w:eastAsia="zh-CN"/>
        </w:rPr>
      </w:pPr>
    </w:p>
    <w:p w:rsidR="00427717" w:rsidRPr="005B4F10" w:rsidRDefault="00427717" w:rsidP="005B4F10">
      <w:pPr>
        <w:pStyle w:val="ListParagraph"/>
        <w:ind w:left="0"/>
        <w:rPr>
          <w:b/>
          <w:sz w:val="20"/>
          <w:szCs w:val="20"/>
          <w:lang w:val="en-US" w:eastAsia="zh-CN"/>
        </w:rPr>
      </w:pPr>
      <w:r w:rsidRPr="005B4F10">
        <w:rPr>
          <w:b/>
          <w:sz w:val="20"/>
          <w:szCs w:val="20"/>
          <w:lang w:val="en-US" w:eastAsia="zh-CN"/>
        </w:rPr>
        <w:t xml:space="preserve">Proposal 10 : Handover interruption duration shall be specified as </w:t>
      </w:r>
      <w:r w:rsidRPr="005B4F10">
        <w:rPr>
          <w:b/>
          <w:sz w:val="20"/>
          <w:szCs w:val="20"/>
        </w:rPr>
        <w:t>T</w:t>
      </w:r>
      <w:r w:rsidRPr="005B4F10">
        <w:rPr>
          <w:b/>
          <w:sz w:val="20"/>
          <w:szCs w:val="20"/>
          <w:vertAlign w:val="subscript"/>
        </w:rPr>
        <w:t>IU</w:t>
      </w:r>
      <w:r w:rsidRPr="005B4F10">
        <w:rPr>
          <w:b/>
          <w:sz w:val="20"/>
          <w:szCs w:val="20"/>
        </w:rPr>
        <w:t xml:space="preserve"> + 20 ms</w:t>
      </w:r>
    </w:p>
    <w:p w:rsidR="00367330" w:rsidRPr="00367330" w:rsidRDefault="00367330" w:rsidP="00820DBE">
      <w:pPr>
        <w:tabs>
          <w:tab w:val="left" w:pos="3660"/>
        </w:tabs>
        <w:rPr>
          <w:b/>
          <w:lang w:val="en-US" w:eastAsia="zh-CN"/>
        </w:rPr>
      </w:pPr>
    </w:p>
    <w:p w:rsidR="005813AA" w:rsidRDefault="005813AA" w:rsidP="005813AA">
      <w:pPr>
        <w:pStyle w:val="Heading1"/>
        <w:jc w:val="both"/>
        <w:rPr>
          <w:rFonts w:eastAsia="SimSun"/>
          <w:lang w:val="en-US" w:eastAsia="zh-CN"/>
        </w:rPr>
      </w:pPr>
      <w:r>
        <w:rPr>
          <w:rFonts w:eastAsia="SimSun"/>
          <w:lang w:val="en-US" w:eastAsia="zh-CN"/>
        </w:rPr>
        <w:t>References</w:t>
      </w:r>
    </w:p>
    <w:p w:rsidR="006B6666" w:rsidRPr="006B6666" w:rsidRDefault="006B6666" w:rsidP="006B6666">
      <w:pPr>
        <w:rPr>
          <w:lang w:val="en-US" w:eastAsia="zh-CN"/>
        </w:rPr>
      </w:pPr>
    </w:p>
    <w:p w:rsidR="000208BE" w:rsidRPr="00820DBE" w:rsidRDefault="00820DBE" w:rsidP="00820DBE">
      <w:pPr>
        <w:pStyle w:val="3GPPNormalText"/>
        <w:numPr>
          <w:ilvl w:val="0"/>
          <w:numId w:val="5"/>
        </w:numPr>
        <w:rPr>
          <w:szCs w:val="20"/>
          <w:lang w:eastAsia="zh-CN"/>
        </w:rPr>
      </w:pPr>
      <w:r w:rsidRPr="00820DBE">
        <w:t xml:space="preserve"> </w:t>
      </w:r>
      <w:bookmarkStart w:id="2" w:name="_Ref11680932"/>
      <w:r w:rsidRPr="00820DBE">
        <w:rPr>
          <w:szCs w:val="20"/>
          <w:lang w:eastAsia="zh-CN"/>
        </w:rPr>
        <w:t>R4</w:t>
      </w:r>
      <w:r>
        <w:rPr>
          <w:szCs w:val="20"/>
          <w:lang w:eastAsia="zh-CN"/>
        </w:rPr>
        <w:t>-</w:t>
      </w:r>
      <w:r w:rsidRPr="00820DBE">
        <w:rPr>
          <w:szCs w:val="20"/>
          <w:lang w:eastAsia="zh-CN"/>
        </w:rPr>
        <w:t>1907737</w:t>
      </w:r>
      <w:r w:rsidRPr="00820DBE">
        <w:rPr>
          <w:szCs w:val="20"/>
          <w:lang w:eastAsia="zh-CN"/>
        </w:rPr>
        <w:tab/>
        <w:t>Way forward on LTE mobility enhancement</w:t>
      </w:r>
      <w:r>
        <w:rPr>
          <w:szCs w:val="20"/>
          <w:lang w:eastAsia="zh-CN"/>
        </w:rPr>
        <w:t>, China Telecom</w:t>
      </w:r>
      <w:bookmarkEnd w:id="2"/>
    </w:p>
    <w:sectPr w:rsidR="000208BE" w:rsidRPr="00820DBE"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1F79" w:rsidRDefault="00B71F79">
      <w:r>
        <w:separator/>
      </w:r>
    </w:p>
  </w:endnote>
  <w:endnote w:type="continuationSeparator" w:id="0">
    <w:p w:rsidR="00B71F79" w:rsidRDefault="00B7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1F79" w:rsidRDefault="00B71F79">
      <w:r>
        <w:separator/>
      </w:r>
    </w:p>
  </w:footnote>
  <w:footnote w:type="continuationSeparator" w:id="0">
    <w:p w:rsidR="00B71F79" w:rsidRDefault="00B71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8C29B1"/>
    <w:multiLevelType w:val="hybridMultilevel"/>
    <w:tmpl w:val="69CAF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6"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7E1462"/>
    <w:multiLevelType w:val="hybridMultilevel"/>
    <w:tmpl w:val="57A27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9B3B9D"/>
    <w:multiLevelType w:val="hybridMultilevel"/>
    <w:tmpl w:val="4DB477C4"/>
    <w:lvl w:ilvl="0" w:tplc="4034614C">
      <w:start w:val="1"/>
      <w:numFmt w:val="bullet"/>
      <w:lvlText w:val=""/>
      <w:lvlJc w:val="left"/>
      <w:pPr>
        <w:tabs>
          <w:tab w:val="num" w:pos="720"/>
        </w:tabs>
        <w:ind w:left="720" w:hanging="360"/>
      </w:pPr>
      <w:rPr>
        <w:rFonts w:ascii="Wingdings" w:hAnsi="Wingdings" w:hint="default"/>
      </w:rPr>
    </w:lvl>
    <w:lvl w:ilvl="1" w:tplc="29946FD8">
      <w:start w:val="302"/>
      <w:numFmt w:val="bullet"/>
      <w:lvlText w:val="o"/>
      <w:lvlJc w:val="left"/>
      <w:pPr>
        <w:tabs>
          <w:tab w:val="num" w:pos="1440"/>
        </w:tabs>
        <w:ind w:left="1440" w:hanging="360"/>
      </w:pPr>
      <w:rPr>
        <w:rFonts w:ascii="Courier New" w:hAnsi="Courier New" w:hint="default"/>
      </w:rPr>
    </w:lvl>
    <w:lvl w:ilvl="2" w:tplc="0C4C0C6C" w:tentative="1">
      <w:start w:val="1"/>
      <w:numFmt w:val="bullet"/>
      <w:lvlText w:val=""/>
      <w:lvlJc w:val="left"/>
      <w:pPr>
        <w:tabs>
          <w:tab w:val="num" w:pos="2160"/>
        </w:tabs>
        <w:ind w:left="2160" w:hanging="360"/>
      </w:pPr>
      <w:rPr>
        <w:rFonts w:ascii="Wingdings" w:hAnsi="Wingdings" w:hint="default"/>
      </w:rPr>
    </w:lvl>
    <w:lvl w:ilvl="3" w:tplc="DA1ADA7E" w:tentative="1">
      <w:start w:val="1"/>
      <w:numFmt w:val="bullet"/>
      <w:lvlText w:val=""/>
      <w:lvlJc w:val="left"/>
      <w:pPr>
        <w:tabs>
          <w:tab w:val="num" w:pos="2880"/>
        </w:tabs>
        <w:ind w:left="2880" w:hanging="360"/>
      </w:pPr>
      <w:rPr>
        <w:rFonts w:ascii="Wingdings" w:hAnsi="Wingdings" w:hint="default"/>
      </w:rPr>
    </w:lvl>
    <w:lvl w:ilvl="4" w:tplc="8FD6A300" w:tentative="1">
      <w:start w:val="1"/>
      <w:numFmt w:val="bullet"/>
      <w:lvlText w:val=""/>
      <w:lvlJc w:val="left"/>
      <w:pPr>
        <w:tabs>
          <w:tab w:val="num" w:pos="3600"/>
        </w:tabs>
        <w:ind w:left="3600" w:hanging="360"/>
      </w:pPr>
      <w:rPr>
        <w:rFonts w:ascii="Wingdings" w:hAnsi="Wingdings" w:hint="default"/>
      </w:rPr>
    </w:lvl>
    <w:lvl w:ilvl="5" w:tplc="DECA74C8" w:tentative="1">
      <w:start w:val="1"/>
      <w:numFmt w:val="bullet"/>
      <w:lvlText w:val=""/>
      <w:lvlJc w:val="left"/>
      <w:pPr>
        <w:tabs>
          <w:tab w:val="num" w:pos="4320"/>
        </w:tabs>
        <w:ind w:left="4320" w:hanging="360"/>
      </w:pPr>
      <w:rPr>
        <w:rFonts w:ascii="Wingdings" w:hAnsi="Wingdings" w:hint="default"/>
      </w:rPr>
    </w:lvl>
    <w:lvl w:ilvl="6" w:tplc="86F00B68" w:tentative="1">
      <w:start w:val="1"/>
      <w:numFmt w:val="bullet"/>
      <w:lvlText w:val=""/>
      <w:lvlJc w:val="left"/>
      <w:pPr>
        <w:tabs>
          <w:tab w:val="num" w:pos="5040"/>
        </w:tabs>
        <w:ind w:left="5040" w:hanging="360"/>
      </w:pPr>
      <w:rPr>
        <w:rFonts w:ascii="Wingdings" w:hAnsi="Wingdings" w:hint="default"/>
      </w:rPr>
    </w:lvl>
    <w:lvl w:ilvl="7" w:tplc="0CAED388" w:tentative="1">
      <w:start w:val="1"/>
      <w:numFmt w:val="bullet"/>
      <w:lvlText w:val=""/>
      <w:lvlJc w:val="left"/>
      <w:pPr>
        <w:tabs>
          <w:tab w:val="num" w:pos="5760"/>
        </w:tabs>
        <w:ind w:left="5760" w:hanging="360"/>
      </w:pPr>
      <w:rPr>
        <w:rFonts w:ascii="Wingdings" w:hAnsi="Wingdings" w:hint="default"/>
      </w:rPr>
    </w:lvl>
    <w:lvl w:ilvl="8" w:tplc="9DAC5AA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55070"/>
    <w:multiLevelType w:val="hybridMultilevel"/>
    <w:tmpl w:val="2E3E7D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3" w15:restartNumberingAfterBreak="0">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5" w15:restartNumberingAfterBreak="0">
    <w:nsid w:val="32D60B6B"/>
    <w:multiLevelType w:val="hybridMultilevel"/>
    <w:tmpl w:val="48FECB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9"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BE37B33"/>
    <w:multiLevelType w:val="hybridMultilevel"/>
    <w:tmpl w:val="686433BE"/>
    <w:lvl w:ilvl="0" w:tplc="5D40D61A">
      <w:start w:val="1"/>
      <w:numFmt w:val="bullet"/>
      <w:lvlText w:val=""/>
      <w:lvlJc w:val="left"/>
      <w:pPr>
        <w:tabs>
          <w:tab w:val="num" w:pos="720"/>
        </w:tabs>
        <w:ind w:left="720" w:hanging="360"/>
      </w:pPr>
      <w:rPr>
        <w:rFonts w:ascii="Wingdings" w:hAnsi="Wingdings" w:hint="default"/>
      </w:rPr>
    </w:lvl>
    <w:lvl w:ilvl="1" w:tplc="27BCB262" w:tentative="1">
      <w:start w:val="1"/>
      <w:numFmt w:val="bullet"/>
      <w:lvlText w:val=""/>
      <w:lvlJc w:val="left"/>
      <w:pPr>
        <w:tabs>
          <w:tab w:val="num" w:pos="1440"/>
        </w:tabs>
        <w:ind w:left="1440" w:hanging="360"/>
      </w:pPr>
      <w:rPr>
        <w:rFonts w:ascii="Wingdings" w:hAnsi="Wingdings" w:hint="default"/>
      </w:rPr>
    </w:lvl>
    <w:lvl w:ilvl="2" w:tplc="FAB0F584" w:tentative="1">
      <w:start w:val="1"/>
      <w:numFmt w:val="bullet"/>
      <w:lvlText w:val=""/>
      <w:lvlJc w:val="left"/>
      <w:pPr>
        <w:tabs>
          <w:tab w:val="num" w:pos="2160"/>
        </w:tabs>
        <w:ind w:left="2160" w:hanging="360"/>
      </w:pPr>
      <w:rPr>
        <w:rFonts w:ascii="Wingdings" w:hAnsi="Wingdings" w:hint="default"/>
      </w:rPr>
    </w:lvl>
    <w:lvl w:ilvl="3" w:tplc="874011E6" w:tentative="1">
      <w:start w:val="1"/>
      <w:numFmt w:val="bullet"/>
      <w:lvlText w:val=""/>
      <w:lvlJc w:val="left"/>
      <w:pPr>
        <w:tabs>
          <w:tab w:val="num" w:pos="2880"/>
        </w:tabs>
        <w:ind w:left="2880" w:hanging="360"/>
      </w:pPr>
      <w:rPr>
        <w:rFonts w:ascii="Wingdings" w:hAnsi="Wingdings" w:hint="default"/>
      </w:rPr>
    </w:lvl>
    <w:lvl w:ilvl="4" w:tplc="176E4B86" w:tentative="1">
      <w:start w:val="1"/>
      <w:numFmt w:val="bullet"/>
      <w:lvlText w:val=""/>
      <w:lvlJc w:val="left"/>
      <w:pPr>
        <w:tabs>
          <w:tab w:val="num" w:pos="3600"/>
        </w:tabs>
        <w:ind w:left="3600" w:hanging="360"/>
      </w:pPr>
      <w:rPr>
        <w:rFonts w:ascii="Wingdings" w:hAnsi="Wingdings" w:hint="default"/>
      </w:rPr>
    </w:lvl>
    <w:lvl w:ilvl="5" w:tplc="B5227390" w:tentative="1">
      <w:start w:val="1"/>
      <w:numFmt w:val="bullet"/>
      <w:lvlText w:val=""/>
      <w:lvlJc w:val="left"/>
      <w:pPr>
        <w:tabs>
          <w:tab w:val="num" w:pos="4320"/>
        </w:tabs>
        <w:ind w:left="4320" w:hanging="360"/>
      </w:pPr>
      <w:rPr>
        <w:rFonts w:ascii="Wingdings" w:hAnsi="Wingdings" w:hint="default"/>
      </w:rPr>
    </w:lvl>
    <w:lvl w:ilvl="6" w:tplc="FFB46A38" w:tentative="1">
      <w:start w:val="1"/>
      <w:numFmt w:val="bullet"/>
      <w:lvlText w:val=""/>
      <w:lvlJc w:val="left"/>
      <w:pPr>
        <w:tabs>
          <w:tab w:val="num" w:pos="5040"/>
        </w:tabs>
        <w:ind w:left="5040" w:hanging="360"/>
      </w:pPr>
      <w:rPr>
        <w:rFonts w:ascii="Wingdings" w:hAnsi="Wingdings" w:hint="default"/>
      </w:rPr>
    </w:lvl>
    <w:lvl w:ilvl="7" w:tplc="520E3434" w:tentative="1">
      <w:start w:val="1"/>
      <w:numFmt w:val="bullet"/>
      <w:lvlText w:val=""/>
      <w:lvlJc w:val="left"/>
      <w:pPr>
        <w:tabs>
          <w:tab w:val="num" w:pos="5760"/>
        </w:tabs>
        <w:ind w:left="5760" w:hanging="360"/>
      </w:pPr>
      <w:rPr>
        <w:rFonts w:ascii="Wingdings" w:hAnsi="Wingdings" w:hint="default"/>
      </w:rPr>
    </w:lvl>
    <w:lvl w:ilvl="8" w:tplc="F6442CF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0A429E"/>
    <w:multiLevelType w:val="hybridMultilevel"/>
    <w:tmpl w:val="9D8EF2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8462CE"/>
    <w:multiLevelType w:val="hybridMultilevel"/>
    <w:tmpl w:val="9D1E328C"/>
    <w:lvl w:ilvl="0" w:tplc="0492A92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905093"/>
    <w:multiLevelType w:val="hybridMultilevel"/>
    <w:tmpl w:val="95882D6A"/>
    <w:lvl w:ilvl="0" w:tplc="B5BC8FAC">
      <w:start w:val="1"/>
      <w:numFmt w:val="bullet"/>
      <w:lvlText w:val="•"/>
      <w:lvlJc w:val="left"/>
      <w:pPr>
        <w:tabs>
          <w:tab w:val="num" w:pos="720"/>
        </w:tabs>
        <w:ind w:left="720" w:hanging="360"/>
      </w:pPr>
      <w:rPr>
        <w:rFonts w:ascii="Arial" w:hAnsi="Arial" w:hint="default"/>
      </w:rPr>
    </w:lvl>
    <w:lvl w:ilvl="1" w:tplc="28F8185C">
      <w:numFmt w:val="bullet"/>
      <w:lvlText w:val="–"/>
      <w:lvlJc w:val="left"/>
      <w:pPr>
        <w:tabs>
          <w:tab w:val="num" w:pos="1440"/>
        </w:tabs>
        <w:ind w:left="1440" w:hanging="360"/>
      </w:pPr>
      <w:rPr>
        <w:rFonts w:ascii="Arial" w:hAnsi="Arial" w:hint="default"/>
      </w:rPr>
    </w:lvl>
    <w:lvl w:ilvl="2" w:tplc="0B6EDE42">
      <w:numFmt w:val="bullet"/>
      <w:lvlText w:val="•"/>
      <w:lvlJc w:val="left"/>
      <w:pPr>
        <w:tabs>
          <w:tab w:val="num" w:pos="2160"/>
        </w:tabs>
        <w:ind w:left="2160" w:hanging="360"/>
      </w:pPr>
      <w:rPr>
        <w:rFonts w:ascii="Arial" w:hAnsi="Arial" w:hint="default"/>
      </w:rPr>
    </w:lvl>
    <w:lvl w:ilvl="3" w:tplc="18CC8894" w:tentative="1">
      <w:start w:val="1"/>
      <w:numFmt w:val="bullet"/>
      <w:lvlText w:val="•"/>
      <w:lvlJc w:val="left"/>
      <w:pPr>
        <w:tabs>
          <w:tab w:val="num" w:pos="2880"/>
        </w:tabs>
        <w:ind w:left="2880" w:hanging="360"/>
      </w:pPr>
      <w:rPr>
        <w:rFonts w:ascii="Arial" w:hAnsi="Arial" w:hint="default"/>
      </w:rPr>
    </w:lvl>
    <w:lvl w:ilvl="4" w:tplc="40A2DF18" w:tentative="1">
      <w:start w:val="1"/>
      <w:numFmt w:val="bullet"/>
      <w:lvlText w:val="•"/>
      <w:lvlJc w:val="left"/>
      <w:pPr>
        <w:tabs>
          <w:tab w:val="num" w:pos="3600"/>
        </w:tabs>
        <w:ind w:left="3600" w:hanging="360"/>
      </w:pPr>
      <w:rPr>
        <w:rFonts w:ascii="Arial" w:hAnsi="Arial" w:hint="default"/>
      </w:rPr>
    </w:lvl>
    <w:lvl w:ilvl="5" w:tplc="5798D228" w:tentative="1">
      <w:start w:val="1"/>
      <w:numFmt w:val="bullet"/>
      <w:lvlText w:val="•"/>
      <w:lvlJc w:val="left"/>
      <w:pPr>
        <w:tabs>
          <w:tab w:val="num" w:pos="4320"/>
        </w:tabs>
        <w:ind w:left="4320" w:hanging="360"/>
      </w:pPr>
      <w:rPr>
        <w:rFonts w:ascii="Arial" w:hAnsi="Arial" w:hint="default"/>
      </w:rPr>
    </w:lvl>
    <w:lvl w:ilvl="6" w:tplc="EF52A240" w:tentative="1">
      <w:start w:val="1"/>
      <w:numFmt w:val="bullet"/>
      <w:lvlText w:val="•"/>
      <w:lvlJc w:val="left"/>
      <w:pPr>
        <w:tabs>
          <w:tab w:val="num" w:pos="5040"/>
        </w:tabs>
        <w:ind w:left="5040" w:hanging="360"/>
      </w:pPr>
      <w:rPr>
        <w:rFonts w:ascii="Arial" w:hAnsi="Arial" w:hint="default"/>
      </w:rPr>
    </w:lvl>
    <w:lvl w:ilvl="7" w:tplc="031ED69C" w:tentative="1">
      <w:start w:val="1"/>
      <w:numFmt w:val="bullet"/>
      <w:lvlText w:val="•"/>
      <w:lvlJc w:val="left"/>
      <w:pPr>
        <w:tabs>
          <w:tab w:val="num" w:pos="5760"/>
        </w:tabs>
        <w:ind w:left="5760" w:hanging="360"/>
      </w:pPr>
      <w:rPr>
        <w:rFonts w:ascii="Arial" w:hAnsi="Arial" w:hint="default"/>
      </w:rPr>
    </w:lvl>
    <w:lvl w:ilvl="8" w:tplc="CE38D8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4219DD"/>
    <w:multiLevelType w:val="hybridMultilevel"/>
    <w:tmpl w:val="9D8EF2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3" w15:restartNumberingAfterBreak="0">
    <w:nsid w:val="760D13B8"/>
    <w:multiLevelType w:val="hybridMultilevel"/>
    <w:tmpl w:val="3D52D5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45"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46"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23"/>
  </w:num>
  <w:num w:numId="2">
    <w:abstractNumId w:val="39"/>
  </w:num>
  <w:num w:numId="3">
    <w:abstractNumId w:val="45"/>
  </w:num>
  <w:num w:numId="4">
    <w:abstractNumId w:val="14"/>
  </w:num>
  <w:num w:numId="5">
    <w:abstractNumId w:val="18"/>
  </w:num>
  <w:num w:numId="6">
    <w:abstractNumId w:val="5"/>
  </w:num>
  <w:num w:numId="7">
    <w:abstractNumId w:val="10"/>
  </w:num>
  <w:num w:numId="8">
    <w:abstractNumId w:val="37"/>
  </w:num>
  <w:num w:numId="9">
    <w:abstractNumId w:val="28"/>
  </w:num>
  <w:num w:numId="10">
    <w:abstractNumId w:val="2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6"/>
  </w:num>
  <w:num w:numId="13">
    <w:abstractNumId w:val="2"/>
  </w:num>
  <w:num w:numId="14">
    <w:abstractNumId w:val="31"/>
  </w:num>
  <w:num w:numId="15">
    <w:abstractNumId w:val="6"/>
  </w:num>
  <w:num w:numId="16">
    <w:abstractNumId w:val="3"/>
  </w:num>
  <w:num w:numId="17">
    <w:abstractNumId w:val="24"/>
  </w:num>
  <w:num w:numId="18">
    <w:abstractNumId w:val="21"/>
  </w:num>
  <w:num w:numId="19">
    <w:abstractNumId w:val="4"/>
  </w:num>
  <w:num w:numId="20">
    <w:abstractNumId w:val="16"/>
  </w:num>
  <w:num w:numId="21">
    <w:abstractNumId w:val="17"/>
  </w:num>
  <w:num w:numId="22">
    <w:abstractNumId w:val="12"/>
  </w:num>
  <w:num w:numId="23">
    <w:abstractNumId w:val="46"/>
  </w:num>
  <w:num w:numId="24">
    <w:abstractNumId w:val="44"/>
  </w:num>
  <w:num w:numId="25">
    <w:abstractNumId w:val="36"/>
  </w:num>
  <w:num w:numId="26">
    <w:abstractNumId w:val="8"/>
  </w:num>
  <w:num w:numId="27">
    <w:abstractNumId w:val="41"/>
  </w:num>
  <w:num w:numId="28">
    <w:abstractNumId w:val="40"/>
  </w:num>
  <w:num w:numId="29">
    <w:abstractNumId w:val="22"/>
  </w:num>
  <w:num w:numId="30">
    <w:abstractNumId w:val="20"/>
  </w:num>
  <w:num w:numId="31">
    <w:abstractNumId w:val="32"/>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42"/>
  </w:num>
  <w:num w:numId="34">
    <w:abstractNumId w:val="9"/>
  </w:num>
  <w:num w:numId="35">
    <w:abstractNumId w:val="25"/>
  </w:num>
  <w:num w:numId="36">
    <w:abstractNumId w:val="15"/>
  </w:num>
  <w:num w:numId="37">
    <w:abstractNumId w:val="34"/>
  </w:num>
  <w:num w:numId="38">
    <w:abstractNumId w:val="29"/>
  </w:num>
  <w:num w:numId="39">
    <w:abstractNumId w:val="11"/>
  </w:num>
  <w:num w:numId="40">
    <w:abstractNumId w:val="1"/>
  </w:num>
  <w:num w:numId="41">
    <w:abstractNumId w:val="33"/>
  </w:num>
  <w:num w:numId="42">
    <w:abstractNumId w:val="19"/>
  </w:num>
  <w:num w:numId="43">
    <w:abstractNumId w:val="13"/>
  </w:num>
  <w:num w:numId="44">
    <w:abstractNumId w:val="35"/>
  </w:num>
  <w:num w:numId="45">
    <w:abstractNumId w:val="43"/>
  </w:num>
  <w:num w:numId="46">
    <w:abstractNumId w:val="38"/>
  </w:num>
  <w:num w:numId="47">
    <w:abstractNumId w:val="7"/>
  </w:num>
  <w:num w:numId="48">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7D6"/>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3E3F"/>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68B5"/>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9D3"/>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C0F"/>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17"/>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679"/>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25E"/>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F1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5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4D9E"/>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0DB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9F9"/>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930"/>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40A"/>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0F0"/>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1F79"/>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003"/>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4F"/>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6EE"/>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121"/>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3F26"/>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31"/>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B7A"/>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ACB56A"/>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87985965">
      <w:bodyDiv w:val="1"/>
      <w:marLeft w:val="0"/>
      <w:marRight w:val="0"/>
      <w:marTop w:val="0"/>
      <w:marBottom w:val="0"/>
      <w:divBdr>
        <w:top w:val="none" w:sz="0" w:space="0" w:color="auto"/>
        <w:left w:val="none" w:sz="0" w:space="0" w:color="auto"/>
        <w:bottom w:val="none" w:sz="0" w:space="0" w:color="auto"/>
        <w:right w:val="none" w:sz="0" w:space="0" w:color="auto"/>
      </w:divBdr>
      <w:divsChild>
        <w:div w:id="1768885323">
          <w:marLeft w:val="547"/>
          <w:marRight w:val="0"/>
          <w:marTop w:val="96"/>
          <w:marBottom w:val="0"/>
          <w:divBdr>
            <w:top w:val="none" w:sz="0" w:space="0" w:color="auto"/>
            <w:left w:val="none" w:sz="0" w:space="0" w:color="auto"/>
            <w:bottom w:val="none" w:sz="0" w:space="0" w:color="auto"/>
            <w:right w:val="none" w:sz="0" w:space="0" w:color="auto"/>
          </w:divBdr>
        </w:div>
        <w:div w:id="1111702518">
          <w:marLeft w:val="1166"/>
          <w:marRight w:val="0"/>
          <w:marTop w:val="86"/>
          <w:marBottom w:val="0"/>
          <w:divBdr>
            <w:top w:val="none" w:sz="0" w:space="0" w:color="auto"/>
            <w:left w:val="none" w:sz="0" w:space="0" w:color="auto"/>
            <w:bottom w:val="none" w:sz="0" w:space="0" w:color="auto"/>
            <w:right w:val="none" w:sz="0" w:space="0" w:color="auto"/>
          </w:divBdr>
        </w:div>
        <w:div w:id="488641559">
          <w:marLeft w:val="1166"/>
          <w:marRight w:val="0"/>
          <w:marTop w:val="86"/>
          <w:marBottom w:val="0"/>
          <w:divBdr>
            <w:top w:val="none" w:sz="0" w:space="0" w:color="auto"/>
            <w:left w:val="none" w:sz="0" w:space="0" w:color="auto"/>
            <w:bottom w:val="none" w:sz="0" w:space="0" w:color="auto"/>
            <w:right w:val="none" w:sz="0" w:space="0" w:color="auto"/>
          </w:divBdr>
        </w:div>
        <w:div w:id="1280183040">
          <w:marLeft w:val="1800"/>
          <w:marRight w:val="0"/>
          <w:marTop w:val="77"/>
          <w:marBottom w:val="0"/>
          <w:divBdr>
            <w:top w:val="none" w:sz="0" w:space="0" w:color="auto"/>
            <w:left w:val="none" w:sz="0" w:space="0" w:color="auto"/>
            <w:bottom w:val="none" w:sz="0" w:space="0" w:color="auto"/>
            <w:right w:val="none" w:sz="0" w:space="0" w:color="auto"/>
          </w:divBdr>
        </w:div>
        <w:div w:id="1775709543">
          <w:marLeft w:val="1800"/>
          <w:marRight w:val="0"/>
          <w:marTop w:val="77"/>
          <w:marBottom w:val="0"/>
          <w:divBdr>
            <w:top w:val="none" w:sz="0" w:space="0" w:color="auto"/>
            <w:left w:val="none" w:sz="0" w:space="0" w:color="auto"/>
            <w:bottom w:val="none" w:sz="0" w:space="0" w:color="auto"/>
            <w:right w:val="none" w:sz="0" w:space="0" w:color="auto"/>
          </w:divBdr>
        </w:div>
        <w:div w:id="97604181">
          <w:marLeft w:val="547"/>
          <w:marRight w:val="0"/>
          <w:marTop w:val="96"/>
          <w:marBottom w:val="0"/>
          <w:divBdr>
            <w:top w:val="none" w:sz="0" w:space="0" w:color="auto"/>
            <w:left w:val="none" w:sz="0" w:space="0" w:color="auto"/>
            <w:bottom w:val="none" w:sz="0" w:space="0" w:color="auto"/>
            <w:right w:val="none" w:sz="0" w:space="0" w:color="auto"/>
          </w:divBdr>
        </w:div>
        <w:div w:id="1058165626">
          <w:marLeft w:val="1166"/>
          <w:marRight w:val="0"/>
          <w:marTop w:val="86"/>
          <w:marBottom w:val="0"/>
          <w:divBdr>
            <w:top w:val="none" w:sz="0" w:space="0" w:color="auto"/>
            <w:left w:val="none" w:sz="0" w:space="0" w:color="auto"/>
            <w:bottom w:val="none" w:sz="0" w:space="0" w:color="auto"/>
            <w:right w:val="none" w:sz="0" w:space="0" w:color="auto"/>
          </w:divBdr>
        </w:div>
        <w:div w:id="66342536">
          <w:marLeft w:val="1166"/>
          <w:marRight w:val="0"/>
          <w:marTop w:val="8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6309620">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BE00C1C0-D442-4A9B-A545-4754B9E5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2101</Words>
  <Characters>11978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2019-08-15T13:21:00Z</dcterms:created>
  <dcterms:modified xsi:type="dcterms:W3CDTF">2019-08-16T15:34:00Z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